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5E37"/>
          <w:sz w:val="40"/>
          <w:szCs w:val="40"/>
        </w:rPr>
        <w:t xml:space="preserve">Access &amp; Authorization Flow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IDP Catalog — Design Document, Section 12</w:t>
      </w:r>
    </w:p>
    <w:p>
      <w:pPr>
        <w:pBdr>
          <w:bottom w:val="single" w:color="5BA872" w:sz="16" w:space="6"/>
        </w:pBdr>
        <w:spacing w:after="24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Author: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Rohid   |   </w:t>
      </w: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Program: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RTB — Internal Developer Platform (Harness IDP)</w:t>
      </w: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br/>
        <w:t xml:space="preserve">    Status: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Draft for review   |   </w:t>
      </w: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Version: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0.1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Everyone authenticates through Okta. Both Workflows and Catalog are account-level surfaces — visible to every authenticated user with no per-user gating at that stage. Access control happens further down each path, and differently for each.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System overview</w:t>
      </w:r>
    </w:p>
    <w:p>
      <w:pPr>
        <w:spacing w:after="160"/>
      </w:pPr>
      <w:r>
        <w:drawing>
          <wp:inline distT="0" distB="0" distL="0" distR="0">
            <wp:extent cx="4572000" cy="25949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Okta login splits into the two account-level surfaces. Workflows require SysID ownership before self-service unlocks; Catalog is open to browse via plugins, including the live scorecard. Both paths converge on pipeline execution, where the scorecard can act as a governance gate.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Workflow path — SysID authorization and pipeline trigger</w:t>
      </w:r>
    </w:p>
    <w:p>
      <w:pPr>
        <w:spacing w:after="160"/>
      </w:pPr>
      <w:r>
        <w:drawing>
          <wp:inline distT="0" distB="0" distL="0" distR="0">
            <wp:extent cx="4572000" cy="32682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user clicks a workflow and enters a SysID.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The system checks whether the user belongs to that SysID.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If they do, self-service is available; if not, access is blocked.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Submitting the workflow triggers a Harness pipeline that applies the workflow's logic (e.g. AD group provisioning, K8s namespace onboarding).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Catalog path — plugin tabs and scorecard governance gate</w:t>
      </w:r>
    </w:p>
    <w:p>
      <w:pPr>
        <w:spacing w:after="160"/>
      </w:pPr>
      <w:r>
        <w:drawing>
          <wp:inline distT="0" distB="0" distL="0" distR="0">
            <wp:extent cx="4572000" cy="29328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3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Any user can search or browse the catalog — no SysID membership required to 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Entities are viewed through the read-only plugin tabs.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Each entity's scorecard is visible directly inside the catalog.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The scorecard doubles as a governance gate: a pipeline can check the score before allowing deployment, blocking it if the score is too 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bce846dfff90d3d360d35febfa6b780a39ce2e.png"/><Relationship Id="rId8" Type="http://schemas.openxmlformats.org/officeDocument/2006/relationships/image" Target="media/7b1c44865ed9cbb92f121c16ef9c10588e591f6d.png"/><Relationship Id="rId9" Type="http://schemas.openxmlformats.org/officeDocument/2006/relationships/image" Target="media/4507c2c9c5719dca957ff63bb6e0c2e83d557a7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2026-08-24T23:59:01.918Z</dcterms:created>
  <dcterms:modified xsi:type="dcterms:W3CDTF">2026-08-24T23:59:01.918Z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