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Fonts w:ascii="Calibri" w:hAnsi="Calibri" w:cs="Calibri" w:eastAsia="Calibri"/>
                <w:b w:val="false"/>
                <w:i w:val="false"/>
                <w:strike w:val="false"/>
                <w:color w:val="000000"/>
                <w:sz w:val="22"/>
                <w:u w:val="none"/>
              </w:rPr>
              <w:t>0</w:t>
            </w:r>
            <w:r>
              <w:rPr>
                <w:rFonts w:ascii="Calibri" w:hAnsi="Calibri" w:cs="Calibri" w:eastAsia="Calibri"/>
                <w:b w:val="false"/>
                <w:i w:val="false"/>
                <w:strike w:val="false"/>
                <w:color w:val="000000"/>
                <w:sz w:val="22"/>
                <w:u w:val="none"/>
              </w:rPr>
              <w:t>5</w:t>
            </w:r>
            <w:r>
              <w:rPr>
                <w:rFonts w:ascii="Calibri" w:hAnsi="Calibri" w:cs="Calibri" w:eastAsia="Calibri"/>
                <w:b w:val="false"/>
                <w:i w:val="false"/>
                <w:strike w:val="false"/>
                <w:color w:val="000000"/>
                <w:sz w:val="22"/>
                <w:u w:val="none"/>
              </w:rPr>
              <w:t xml:space="preserve"> </w:t>
            </w:r>
            <w:r>
              <w:rPr>
                <w:rFonts w:ascii="Calibri" w:hAnsi="Calibri" w:cs="Calibri" w:eastAsia="Calibri"/>
                <w:b w:val="false"/>
                <w:i w:val="false"/>
                <w:strike w:val="false"/>
                <w:color w:val="000000"/>
                <w:sz w:val="22"/>
                <w:u w:val="none"/>
              </w:rPr>
              <w:t>O</w:t>
            </w:r>
            <w:r>
              <w:rPr>
                <w:rFonts w:ascii="Calibri" w:hAnsi="Calibri" w:cs="Calibri" w:eastAsia="Calibri"/>
                <w:b w:val="false"/>
                <w:i w:val="false"/>
                <w:strike w:val="false"/>
                <w:color w:val="000000"/>
                <w:sz w:val="22"/>
                <w:u w:val="none"/>
              </w:rPr>
              <w:t>c</w:t>
            </w:r>
            <w:r>
              <w:rPr>
                <w:rFonts w:ascii="Calibri" w:hAnsi="Calibri" w:cs="Calibri" w:eastAsia="Calibri"/>
                <w:b w:val="false"/>
                <w:i w:val="false"/>
                <w:strike w:val="false"/>
                <w:color w:val="000000"/>
                <w:sz w:val="22"/>
                <w:u w:val="none"/>
              </w:rPr>
              <w:t>t</w:t>
            </w:r>
            <w:r>
              <w:rPr>
                <w:rFonts w:ascii="Calibri" w:hAnsi="Calibri" w:cs="Calibri" w:eastAsia="Calibri"/>
                <w:b w:val="false"/>
                <w:i w:val="false"/>
                <w:strike w:val="false"/>
                <w:color w:val="000000"/>
                <w:sz w:val="22"/>
                <w:u w:val="none"/>
              </w:rPr>
              <w:t>ober</w:t>
            </w:r>
            <w:r>
              <w:rPr>
                <w:rFonts w:ascii="Calibri" w:hAnsi="Calibri" w:cs="Calibri" w:eastAsia="Calibri"/>
                <w:b w:val="false"/>
                <w:i w:val="false"/>
                <w:strike w:val="false"/>
                <w:color w:val="000000"/>
                <w:sz w:val="22"/>
                <w:u w:val="none"/>
              </w:rPr>
              <w:t xml:space="preserve"> </w:t>
            </w:r>
            <w:r>
              <w:rPr>
                <w:rFonts w:ascii="Calibri" w:hAnsi="Calibri" w:cs="Calibri" w:eastAsia="Calibri"/>
                <w:b w:val="false"/>
                <w:i w:val="false"/>
                <w:strike w:val="false"/>
                <w:color w:val="000000"/>
                <w:sz w:val="22"/>
                <w:u w:val="none"/>
              </w:rPr>
              <w:t>2</w:t>
            </w:r>
            <w:r>
              <w:rPr>
                <w:rFonts w:ascii="Calibri" w:hAnsi="Calibri" w:cs="Calibri" w:eastAsia="Calibri"/>
                <w:b w:val="false"/>
                <w:i w:val="false"/>
                <w:strike w:val="false"/>
                <w:color w:val="000000"/>
                <w:sz w:val="22"/>
                <w:u w:val="none"/>
              </w:rPr>
              <w:t>0</w:t>
            </w:r>
            <w:r>
              <w:rPr>
                <w:rFonts w:ascii="Calibri" w:hAnsi="Calibri" w:cs="Calibri" w:eastAsia="Calibri"/>
                <w:b w:val="false"/>
                <w:i w:val="false"/>
                <w:strike w:val="false"/>
                <w:color w:val="000000"/>
                <w:sz w:val="22"/>
                <w:u w:val="none"/>
              </w:rPr>
              <w:t>2</w:t>
            </w:r>
            <w:r>
              <w:rPr>
                <w:rFonts w:ascii="Calibri" w:hAnsi="Calibri" w:cs="Calibri" w:eastAsia="Calibri"/>
                <w:b w:val="false"/>
                <w:i w:val="false"/>
                <w:strike w:val="false"/>
                <w:color w:val="000000"/>
                <w:sz w:val="22"/>
                <w:u w:val="none"/>
              </w:rPr>
              <w:t>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Calibri" w:hAnsi="Calibri" w:cs="Calibri" w:eastAsia="Calibri"/>
                <w:b w:val="false"/>
                <w:i w:val="false"/>
                <w:strike w:val="false"/>
                <w:color w:val="000000"/>
                <w:sz w:val="22"/>
                <w:u w:val="none"/>
                <w:rtl w:val="0"/>
              </w:rPr>
              <w:t>SWTID-2026-9175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1">
      <w:pPr>
        <w:jc w:val="both"/>
        <w:rPr>
          <w:color w:val="2a2a2a"/>
          <w:sz w:val="24"/>
          <w:szCs w:val="24"/>
        </w:rPr>
      </w:pPr>
      <w:r>
        <w:rPr>
          <w:b/>
        </w:rPr>
        <w:t>Empathy Map – Auto Ticket Classification using Flow Designer</w:t>
      </w:r>
    </w:p>
    <w:p w:rsidR="00000000" w:rsidDel="00000000" w:rsidP="00000000" w:rsidRDefault="00000000" w:rsidRPr="00000000" w14:paraId="00000011">
      <w:pPr>
        <w:jc w:val="both"/>
        <w:rPr>
          <w:color w:val="2a2a2a"/>
          <w:sz w:val="24"/>
          <w:szCs w:val="24"/>
        </w:rPr>
      </w:pPr>
      <w:r>
        <w:rPr>
          <w:b w:val="0"/>
        </w:rPr>
        <w:t>Users: School students / teachers (ticket raisers) and IT helpdesk agents.</w:t>
      </w:r>
    </w:p>
    <w:tbl>
      <w:tblPr>
        <w:tblStyle w:val="TableGrid"/>
        <w:tblW w:type="auto" w:w="0"/>
        <w:tblLook w:firstColumn="1" w:firstRow="1" w:lastColumn="0" w:lastRow="0" w:noHBand="0" w:noVBand="1" w:val="04A0"/>
      </w:tblPr>
      <w:tblGrid>
        <w:gridCol w:w="3009"/>
        <w:gridCol w:w="3009"/>
        <w:gridCol w:w="3009"/>
      </w:tblGrid>
      <w:tr>
        <w:tc>
          <w:tcPr>
            <w:tcW w:type="dxa" w:w="3009"/>
          </w:tcPr>
          <w:p>
            <w:r/>
            <w:r>
              <w:rPr>
                <w:b/>
                <w:sz w:val="20"/>
              </w:rPr>
              <w:t>Section</w:t>
            </w:r>
          </w:p>
        </w:tc>
        <w:tc>
          <w:tcPr>
            <w:tcW w:type="dxa" w:w="3009"/>
          </w:tcPr>
          <w:p>
            <w:r/>
            <w:r>
              <w:rPr>
                <w:b/>
                <w:sz w:val="20"/>
              </w:rPr>
              <w:t>Student / Teacher</w:t>
            </w:r>
          </w:p>
        </w:tc>
        <w:tc>
          <w:tcPr>
            <w:tcW w:type="dxa" w:w="3009"/>
          </w:tcPr>
          <w:p>
            <w:r/>
            <w:r>
              <w:rPr>
                <w:b/>
                <w:sz w:val="20"/>
              </w:rPr>
              <w:t>IT Helpdesk Agent</w:t>
            </w:r>
          </w:p>
        </w:tc>
      </w:tr>
      <w:tr>
        <w:tc>
          <w:tcPr>
            <w:tcW w:type="dxa" w:w="3009"/>
          </w:tcPr>
          <w:p>
            <w:r/>
            <w:r>
              <w:rPr>
                <w:sz w:val="20"/>
              </w:rPr>
              <w:t>Says</w:t>
            </w:r>
          </w:p>
        </w:tc>
        <w:tc>
          <w:tcPr>
            <w:tcW w:type="dxa" w:w="3009"/>
          </w:tcPr>
          <w:p>
            <w:r/>
            <w:r>
              <w:rPr>
                <w:sz w:val="20"/>
              </w:rPr>
              <w:t>“My Wi-Fi / projector is not working.” “I forgot my password.” “Did anyone get my request?”</w:t>
            </w:r>
          </w:p>
        </w:tc>
        <w:tc>
          <w:tcPr>
            <w:tcW w:type="dxa" w:w="3009"/>
          </w:tcPr>
          <w:p>
            <w:r/>
            <w:r>
              <w:rPr>
                <w:sz w:val="20"/>
              </w:rPr>
              <w:t>“Too many tickets today.” “I have to check each one and set the category.”</w:t>
            </w:r>
          </w:p>
        </w:tc>
      </w:tr>
      <w:tr>
        <w:tc>
          <w:tcPr>
            <w:tcW w:type="dxa" w:w="3009"/>
          </w:tcPr>
          <w:p>
            <w:r/>
            <w:r>
              <w:rPr>
                <w:sz w:val="20"/>
              </w:rPr>
              <w:t>Thinks</w:t>
            </w:r>
          </w:p>
        </w:tc>
        <w:tc>
          <w:tcPr>
            <w:tcW w:type="dxa" w:w="3009"/>
          </w:tcPr>
          <w:p>
            <w:r/>
            <w:r>
              <w:rPr>
                <w:sz w:val="20"/>
              </w:rPr>
              <w:t>“Will this be fixed before my class?” “Is anyone looking at my issue?”</w:t>
            </w:r>
          </w:p>
        </w:tc>
        <w:tc>
          <w:tcPr>
            <w:tcW w:type="dxa" w:w="3009"/>
          </w:tcPr>
          <w:p>
            <w:r/>
            <w:r>
              <w:rPr>
                <w:sz w:val="20"/>
              </w:rPr>
              <w:t>“This manual work is repetitive.” “I may mis-categorize a ticket.”</w:t>
            </w:r>
          </w:p>
        </w:tc>
      </w:tr>
      <w:tr>
        <w:tc>
          <w:tcPr>
            <w:tcW w:type="dxa" w:w="3009"/>
          </w:tcPr>
          <w:p>
            <w:r/>
            <w:r>
              <w:rPr>
                <w:sz w:val="20"/>
              </w:rPr>
              <w:t>Does</w:t>
            </w:r>
          </w:p>
        </w:tc>
        <w:tc>
          <w:tcPr>
            <w:tcW w:type="dxa" w:w="3009"/>
          </w:tcPr>
          <w:p>
            <w:r/>
            <w:r>
              <w:rPr>
                <w:sz w:val="20"/>
              </w:rPr>
              <w:t>Creates a ticket with a short description; waits; follows up by calling or visiting the IT room.</w:t>
            </w:r>
          </w:p>
        </w:tc>
        <w:tc>
          <w:tcPr>
            <w:tcW w:type="dxa" w:w="3009"/>
          </w:tcPr>
          <w:p>
            <w:r/>
            <w:r>
              <w:rPr>
                <w:sz w:val="20"/>
              </w:rPr>
              <w:t>Reads each ticket, selects Category and Subcategory, assigns it, informs the caller.</w:t>
            </w:r>
          </w:p>
        </w:tc>
      </w:tr>
      <w:tr>
        <w:tc>
          <w:tcPr>
            <w:tcW w:type="dxa" w:w="3009"/>
          </w:tcPr>
          <w:p>
            <w:r/>
            <w:r>
              <w:rPr>
                <w:sz w:val="20"/>
              </w:rPr>
              <w:t>Feels</w:t>
            </w:r>
          </w:p>
        </w:tc>
        <w:tc>
          <w:tcPr>
            <w:tcW w:type="dxa" w:w="3009"/>
          </w:tcPr>
          <w:p>
            <w:r/>
            <w:r>
              <w:rPr>
                <w:sz w:val="20"/>
              </w:rPr>
              <w:t>Frustrated, anxious, uncertain about the status.</w:t>
            </w:r>
          </w:p>
        </w:tc>
        <w:tc>
          <w:tcPr>
            <w:tcW w:type="dxa" w:w="3009"/>
          </w:tcPr>
          <w:p>
            <w:r/>
            <w:r>
              <w:rPr>
                <w:sz w:val="20"/>
              </w:rPr>
              <w:t>Overloaded, stressed, under time pressure.</w:t>
            </w:r>
          </w:p>
        </w:tc>
      </w:tr>
      <w:tr>
        <w:tc>
          <w:tcPr>
            <w:tcW w:type="dxa" w:w="3009"/>
          </w:tcPr>
          <w:p>
            <w:r/>
            <w:r>
              <w:rPr>
                <w:sz w:val="20"/>
              </w:rPr>
              <w:t>Pains</w:t>
            </w:r>
          </w:p>
        </w:tc>
        <w:tc>
          <w:tcPr>
            <w:tcW w:type="dxa" w:w="3009"/>
          </w:tcPr>
          <w:p>
            <w:r/>
            <w:r>
              <w:rPr>
                <w:sz w:val="20"/>
              </w:rPr>
              <w:t>No confirmation after submitting; slow response; classes disturbed by delays.</w:t>
            </w:r>
          </w:p>
        </w:tc>
        <w:tc>
          <w:tcPr>
            <w:tcW w:type="dxa" w:w="3009"/>
          </w:tcPr>
          <w:p>
            <w:r/>
            <w:r>
              <w:rPr>
                <w:sz w:val="20"/>
              </w:rPr>
              <w:t>Time-consuming manual review; human errors; not scalable as requests grow.</w:t>
            </w:r>
          </w:p>
        </w:tc>
      </w:tr>
      <w:tr>
        <w:tc>
          <w:tcPr>
            <w:tcW w:type="dxa" w:w="3009"/>
          </w:tcPr>
          <w:p>
            <w:r/>
            <w:r>
              <w:rPr>
                <w:sz w:val="20"/>
              </w:rPr>
              <w:t>Gains</w:t>
            </w:r>
          </w:p>
        </w:tc>
        <w:tc>
          <w:tcPr>
            <w:tcW w:type="dxa" w:w="3009"/>
          </w:tcPr>
          <w:p>
            <w:r/>
            <w:r>
              <w:rPr>
                <w:sz w:val="20"/>
              </w:rPr>
              <w:t>Instant email confirmation and quick resolution.</w:t>
            </w:r>
          </w:p>
        </w:tc>
        <w:tc>
          <w:tcPr>
            <w:tcW w:type="dxa" w:w="3009"/>
          </w:tcPr>
          <w:p>
            <w:r/>
            <w:r>
              <w:rPr>
                <w:sz w:val="20"/>
              </w:rPr>
              <w:t>Automatic classification, less manual effort, better ticket routing.</w:t>
            </w:r>
          </w:p>
        </w:tc>
      </w:tr>
    </w:tbl>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Mode="External" Target="https://www.mural.co/templates/empathy-map-canvas"/><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cp:coreProperties>
</file>