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5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O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c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t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ober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2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2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  <w:rtl w:val="0"/>
              </w:rPr>
              <w:t>SWTID-2026-9175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Ticket Creation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Student / teacher enters Caller and Short Description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Auto-number ticket ID generated (INC prefix)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Description entered as free text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>Auto Classification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Flow triggers on record creation when Category is empty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Keyword Wi-Fi / Network → Category Network, Subcategory Wi-Fi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Keyword Projector → Hardware / Projector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Keyword Forgot password → Access / Forgot Password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Keyword Slow computer → Performance / Slow Computer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>Category and Subcategory Dependency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Subcategory choices change based on selected Category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Choice values stored in a standard format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Email Notification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Email sent automatically to the Caller's email on ticket creation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Subject: Your Request for the issue has been submitted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>Ticket Data Storage and Access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Tickets stored in custom table Incident WorkFlow (u_incident_workflow)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State, Assigned group and Assigned to fields for IT staff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Access limited by role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Simple form: the student enters only Caller and Short Description; Category and Subcategory are filled automatically. Dependent choices avoid wrong selections.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Role-based access control (ACL) on the custom table (role u_incident_workflow_user); only authorized users can view or modify ticket data.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Flow is triggered on every new record with an empty Category, so classification is consistent; email delivery can be verified in System Logs &gt; Emails.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Classification and email happen automatically when the ticket is created, without waiting for IT staff.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Runs on the cloud-hosted ServiceNow instance, available whenever the instance is available.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New keywords or categories can be added as more Else If branches and choice values without code; the update set can be moved to other instances.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</cp:coreProperties>
</file>