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5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c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t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ober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SWTID-2026-9175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</w:r>
      <w:r>
        <w:rPr>
          <w:b/>
        </w:rPr>
        <w:t>Architecture – Auto Ticket Classification using Flow Designer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</w:r>
      <w:r w:rsidDel="00000000" w:rsidR="00000000" w:rsidRPr="00000000">
        <w:rPr>
          <w:rtl w:val="0"/>
        </w:rPr>
      </w:r>
      <w:r>
        <w:t>Overall flow: Student / teacher creates ticket → Flow Designer classifies it → table updated → email sent to caller.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</w:rPr>
      </w:pPr>
      <w:r>
        <w:drawing>
          <wp:inline>
            <wp:extent cx="6858000" cy="2168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816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Incident WorkFlow form in ServiceNow where the student enters Caller and Short Description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Platform UI (Form Designer)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Trigger: Record Created on Incident WorkFlow table, condition Category is empty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Flow Designer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If / Else If conditions check keywords in Short Description and Update Record sets Category and Subcategory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 – Flow Logic and Update Record action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Sends confirmation email to the Caller's email address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 – Send Email action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Custom table u_incident_workflow with fields Number, Caller, Category, Subcategory, Short Description, Description, State, Assigned group, Assigned to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table (auto-number INC prefix)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Table data stored in the ServiceNow cloud instance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instance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file attachments; project configuration exported as update set XML file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file system (downloaded XML)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–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–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used; classification is keyword-based, no-code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–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is built and run on the ServiceNow cloud instance; no local server required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(Global application scope)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open-source framework; built with ServiceNow low-code / no-code tools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Flow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Role-based access control (ACL) on the custom table; mandatory Caller and Short Description fields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ACLs, roles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New keywords / categories added with extra Else If branches and choices without scripting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Designer, choice lists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Cloud-hosted instance; flow runs automatically on every new ticket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triggers only when Category is empty and runs at ticket creation, so classification is immediate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 trigger condition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hyperlink" TargetMode="External" Target="https://c4model.com/"/><Relationship Id="rId11" Type="http://schemas.openxmlformats.org/officeDocument/2006/relationships/hyperlink" TargetMode="External" Target="https://developer.ibm.com/patterns/online-order-processing-system-during-pandemic/"/><Relationship Id="rId12" Type="http://schemas.openxmlformats.org/officeDocument/2006/relationships/hyperlink" TargetMode="External" Target="https://www.ibm.com/cloud/architecture"/><Relationship Id="rId13" Type="http://schemas.openxmlformats.org/officeDocument/2006/relationships/hyperlink" TargetMode="External" Target="https://aws.amazon.com/architecture"/><Relationship Id="rId14" Type="http://schemas.openxmlformats.org/officeDocument/2006/relationships/hyperlink" TargetMode="External" Target="https://medium.com/the-internal-startup/how-to-draw-useful-technical-architecture-diagrams-2d20c9fda90d"/><Relationship Id="rId15" Type="http://schemas.openxmlformats.org/officeDocument/2006/relationships/image" Target="media/image3.png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Mode="External" Target="https://developer.ibm.com/patterns/ai-powered-backend-system-for-order-processing-during-pandemics/"/><Relationship Id="rId8" Type="http://schemas.openxmlformats.org/officeDocument/2006/relationships/image" Target="media/image2.pn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</cp:coreProperties>
</file>