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rPr>
                <w:b w:val="false"/>
                <w:i w:val="false"/>
                <w:strike w:val="false"/>
                <w:color w:val="000000"/>
                <w:sz w:val="24"/>
                <w:u w:val="none"/>
              </w:rPr>
              <w:t>0</w:t>
            </w:r>
            <w:r>
              <w:rPr>
                <w:b w:val="false"/>
                <w:i w:val="false"/>
                <w:strike w:val="false"/>
                <w:color w:val="000000"/>
                <w:sz w:val="24"/>
                <w:u w:val="none"/>
              </w:rPr>
              <w:t>5</w:t>
            </w:r>
            <w:r>
              <w:rPr>
                <w:b w:val="false"/>
                <w:i w:val="false"/>
                <w:strike w:val="false"/>
                <w:color w:val="000000"/>
                <w:sz w:val="24"/>
                <w:u w:val="none"/>
              </w:rPr>
              <w:t xml:space="preserve"> </w:t>
            </w:r>
            <w:r>
              <w:rPr>
                <w:b w:val="false"/>
                <w:i w:val="false"/>
                <w:strike w:val="false"/>
                <w:color w:val="000000"/>
                <w:sz w:val="24"/>
                <w:u w:val="none"/>
              </w:rPr>
              <w:t>O</w:t>
            </w:r>
            <w:r>
              <w:rPr>
                <w:b w:val="false"/>
                <w:i w:val="false"/>
                <w:strike w:val="false"/>
                <w:color w:val="000000"/>
                <w:sz w:val="24"/>
                <w:u w:val="none"/>
              </w:rPr>
              <w:t>c</w:t>
            </w:r>
            <w:r>
              <w:rPr>
                <w:b w:val="false"/>
                <w:i w:val="false"/>
                <w:strike w:val="false"/>
                <w:color w:val="000000"/>
                <w:sz w:val="24"/>
                <w:u w:val="none"/>
              </w:rPr>
              <w:t>t</w:t>
            </w:r>
            <w:r>
              <w:rPr>
                <w:b w:val="false"/>
                <w:i w:val="false"/>
                <w:strike w:val="false"/>
                <w:color w:val="000000"/>
                <w:sz w:val="24"/>
                <w:u w:val="none"/>
              </w:rPr>
              <w:t>o</w:t>
            </w:r>
            <w:r>
              <w:rPr>
                <w:b w:val="false"/>
                <w:i w:val="false"/>
                <w:strike w:val="false"/>
                <w:color w:val="000000"/>
                <w:sz w:val="24"/>
                <w:u w:val="none"/>
              </w:rPr>
              <w:t>ber</w:t>
            </w:r>
            <w:r>
              <w:rPr>
                <w:b w:val="false"/>
                <w:i w:val="false"/>
                <w:strike w:val="false"/>
                <w:color w:val="000000"/>
                <w:sz w:val="24"/>
                <w:u w:val="none"/>
              </w:rPr>
              <w:t xml:space="preserve"> </w:t>
            </w:r>
            <w:r>
              <w:rPr>
                <w:b w:val="false"/>
                <w:i w:val="false"/>
                <w:strike w:val="false"/>
                <w:color w:val="000000"/>
                <w:sz w:val="24"/>
                <w:u w:val="none"/>
              </w:rPr>
              <w:t>2</w:t>
            </w:r>
            <w:r>
              <w:rPr>
                <w:b w:val="false"/>
                <w:i w:val="false"/>
                <w:strike w:val="false"/>
                <w:color w:val="000000"/>
                <w:sz w:val="24"/>
                <w:u w:val="none"/>
              </w:rPr>
              <w:t>0</w:t>
            </w:r>
            <w:r>
              <w:rPr>
                <w:b w:val="false"/>
                <w:i w:val="false"/>
                <w:strike w:val="false"/>
                <w:color w:val="000000"/>
                <w:sz w:val="24"/>
                <w:u w:val="none"/>
              </w:rPr>
              <w:t>2</w:t>
            </w:r>
            <w:r>
              <w:rPr>
                <w:b w:val="false"/>
                <w:i w:val="false"/>
                <w:strike w:val="false"/>
                <w:color w:val="000000"/>
                <w:sz w:val="24"/>
                <w:u w:val="none"/>
              </w:rPr>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rPr>
                <w:b w:val="false"/>
                <w:i w:val="false"/>
                <w:strike w:val="false"/>
                <w:color w:val="000000"/>
                <w:sz w:val="24"/>
                <w:u w:val="none"/>
              </w:rPr>
              <w:t>SWTID-2026-9175</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Auto Ticket Classification using Flow Designer</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Problem – Solution Fit Canvas for Auto Ticket Classification using Flow Designer</w:t>
      </w:r>
    </w:p>
    <w:tbl>
      <w:tblPr>
        <w:tblStyle w:val="TableGrid"/>
        <w:tblW w:type="auto" w:w="0"/>
        <w:tblLook w:firstColumn="1" w:firstRow="1" w:lastColumn="0" w:lastRow="0" w:noHBand="0" w:noVBand="1" w:val="04A0"/>
      </w:tblPr>
      <w:tblGrid>
        <w:gridCol w:w="4513"/>
        <w:gridCol w:w="4513"/>
      </w:tblGrid>
      <w:tr>
        <w:tc>
          <w:tcPr>
            <w:tcW w:type="dxa" w:w="2880"/>
          </w:tcPr>
          <w:p>
            <w:r/>
            <w:r>
              <w:rPr>
                <w:b/>
                <w:sz w:val="20"/>
              </w:rPr>
              <w:t>Canvas section</w:t>
            </w:r>
          </w:p>
        </w:tc>
        <w:tc>
          <w:tcPr>
            <w:tcW w:type="dxa" w:w="6336"/>
          </w:tcPr>
          <w:p>
            <w:r/>
            <w:r>
              <w:rPr>
                <w:b/>
                <w:sz w:val="20"/>
              </w:rPr>
              <w:t>Details</w:t>
            </w:r>
          </w:p>
        </w:tc>
      </w:tr>
      <w:tr>
        <w:tc>
          <w:tcPr>
            <w:tcW w:type="dxa" w:w="2880"/>
          </w:tcPr>
          <w:p>
            <w:r/>
            <w:r>
              <w:rPr>
                <w:b/>
                <w:sz w:val="20"/>
              </w:rPr>
              <w:t>1. Customer Segment(s)</w:t>
            </w:r>
          </w:p>
        </w:tc>
        <w:tc>
          <w:tcPr>
            <w:tcW w:type="dxa" w:w="6336"/>
          </w:tcPr>
          <w:p>
            <w:r/>
            <w:r>
              <w:rPr>
                <w:b w:val="0"/>
                <w:sz w:val="20"/>
              </w:rPr>
              <w:t>Students and teachers who raise IT support tickets; school IT helpdesk staff who handle them.</w:t>
            </w:r>
          </w:p>
        </w:tc>
      </w:tr>
      <w:tr>
        <w:tc>
          <w:tcPr>
            <w:tcW w:type="dxa" w:w="2880"/>
          </w:tcPr>
          <w:p>
            <w:r/>
            <w:r>
              <w:rPr>
                <w:b/>
                <w:sz w:val="20"/>
              </w:rPr>
              <w:t>2. Jobs-to-be-done / Problems</w:t>
            </w:r>
          </w:p>
        </w:tc>
        <w:tc>
          <w:tcPr>
            <w:tcW w:type="dxa" w:w="6336"/>
          </w:tcPr>
          <w:p>
            <w:r/>
            <w:r>
              <w:rPr>
                <w:b w:val="0"/>
                <w:sz w:val="20"/>
              </w:rPr>
              <w:t>Report issues like Wi-Fi, projector, password or slow computer and get them fixed quickly. IT staff must classify and route every ticket.</w:t>
            </w:r>
          </w:p>
        </w:tc>
      </w:tr>
      <w:tr>
        <w:tc>
          <w:tcPr>
            <w:tcW w:type="dxa" w:w="2880"/>
          </w:tcPr>
          <w:p>
            <w:r/>
            <w:r>
              <w:rPr>
                <w:b/>
                <w:sz w:val="20"/>
              </w:rPr>
              <w:t>3. Triggers</w:t>
            </w:r>
          </w:p>
        </w:tc>
        <w:tc>
          <w:tcPr>
            <w:tcW w:type="dxa" w:w="6336"/>
          </w:tcPr>
          <w:p>
            <w:r/>
            <w:r>
              <w:rPr>
                <w:b w:val="0"/>
                <w:sz w:val="20"/>
              </w:rPr>
              <w:t>A Wi-Fi outage, a projector not turning on, a forgotten password or a slow computer that disturbs class or work.</w:t>
            </w:r>
          </w:p>
        </w:tc>
      </w:tr>
      <w:tr>
        <w:tc>
          <w:tcPr>
            <w:tcW w:type="dxa" w:w="2880"/>
          </w:tcPr>
          <w:p>
            <w:r/>
            <w:r>
              <w:rPr>
                <w:b/>
                <w:sz w:val="20"/>
              </w:rPr>
              <w:t>4. Emotions: Before / After</w:t>
            </w:r>
          </w:p>
        </w:tc>
        <w:tc>
          <w:tcPr>
            <w:tcW w:type="dxa" w:w="6336"/>
          </w:tcPr>
          <w:p>
            <w:r/>
            <w:r>
              <w:rPr>
                <w:b w:val="0"/>
                <w:sz w:val="20"/>
              </w:rPr>
              <w:t>Before: frustrated, unsure if the request was received (students); overloaded and worried about errors (IT staff). After: reassured by the confirmation email; confident that tickets are routed correctly.</w:t>
            </w:r>
          </w:p>
        </w:tc>
      </w:tr>
      <w:tr>
        <w:tc>
          <w:tcPr>
            <w:tcW w:type="dxa" w:w="2880"/>
          </w:tcPr>
          <w:p>
            <w:r/>
            <w:r>
              <w:rPr>
                <w:b/>
                <w:sz w:val="20"/>
              </w:rPr>
              <w:t>5. Available Solutions</w:t>
            </w:r>
          </w:p>
        </w:tc>
        <w:tc>
          <w:tcPr>
            <w:tcW w:type="dxa" w:w="6336"/>
          </w:tcPr>
          <w:p>
            <w:r/>
            <w:r>
              <w:rPr>
                <w:b w:val="0"/>
                <w:sz w:val="20"/>
              </w:rPr>
              <w:t>Calling or visiting the IT room, or manual ticket entry and classification by IT staff. Pros: personal contact. Cons: slow, inconsistent, no acknowledgement, not scalable.</w:t>
            </w:r>
          </w:p>
        </w:tc>
      </w:tr>
      <w:tr>
        <w:tc>
          <w:tcPr>
            <w:tcW w:type="dxa" w:w="2880"/>
          </w:tcPr>
          <w:p>
            <w:r/>
            <w:r>
              <w:rPr>
                <w:b/>
                <w:sz w:val="20"/>
              </w:rPr>
              <w:t>6. Customer Constraints</w:t>
            </w:r>
          </w:p>
        </w:tc>
        <w:tc>
          <w:tcPr>
            <w:tcW w:type="dxa" w:w="6336"/>
          </w:tcPr>
          <w:p>
            <w:r/>
            <w:r>
              <w:rPr>
                <w:b w:val="0"/>
                <w:sz w:val="20"/>
              </w:rPr>
              <w:t>Limited IT staff, no budget for complex tools, users with little technical knowledge who cannot choose correct categories.</w:t>
            </w:r>
          </w:p>
        </w:tc>
      </w:tr>
      <w:tr>
        <w:tc>
          <w:tcPr>
            <w:tcW w:type="dxa" w:w="2880"/>
          </w:tcPr>
          <w:p>
            <w:r/>
            <w:r>
              <w:rPr>
                <w:b/>
                <w:sz w:val="20"/>
              </w:rPr>
              <w:t>7. Behaviour</w:t>
            </w:r>
          </w:p>
        </w:tc>
        <w:tc>
          <w:tcPr>
            <w:tcW w:type="dxa" w:w="6336"/>
          </w:tcPr>
          <w:p>
            <w:r/>
            <w:r>
              <w:rPr>
                <w:b w:val="0"/>
                <w:sz w:val="20"/>
              </w:rPr>
              <w:t>Users describe the problem in a few words (short description) and wait for IT staff to respond.</w:t>
            </w:r>
          </w:p>
        </w:tc>
      </w:tr>
      <w:tr>
        <w:tc>
          <w:tcPr>
            <w:tcW w:type="dxa" w:w="2880"/>
          </w:tcPr>
          <w:p>
            <w:r/>
            <w:r>
              <w:rPr>
                <w:b/>
                <w:sz w:val="20"/>
              </w:rPr>
              <w:t>8. Channels of Behaviour</w:t>
            </w:r>
          </w:p>
        </w:tc>
        <w:tc>
          <w:tcPr>
            <w:tcW w:type="dxa" w:w="6336"/>
          </w:tcPr>
          <w:p>
            <w:r/>
            <w:r>
              <w:rPr>
                <w:b w:val="0"/>
                <w:sz w:val="20"/>
              </w:rPr>
              <w:t>Online: ServiceNow ticket form and email notification. Offline: telling IT staff in person or by phone.</w:t>
            </w:r>
          </w:p>
        </w:tc>
      </w:tr>
      <w:tr>
        <w:tc>
          <w:tcPr>
            <w:tcW w:type="dxa" w:w="2880"/>
          </w:tcPr>
          <w:p>
            <w:r/>
            <w:r>
              <w:rPr>
                <w:b/>
                <w:sz w:val="20"/>
              </w:rPr>
              <w:t>9. Problem Root Cause</w:t>
            </w:r>
          </w:p>
        </w:tc>
        <w:tc>
          <w:tcPr>
            <w:tcW w:type="dxa" w:w="6336"/>
          </w:tcPr>
          <w:p>
            <w:r/>
            <w:r>
              <w:rPr>
                <w:b w:val="0"/>
                <w:sz w:val="20"/>
              </w:rPr>
              <w:t>Ticket classification is done manually and tickets arrive as free text, with no automatic keyword-based routing.</w:t>
            </w:r>
          </w:p>
        </w:tc>
      </w:tr>
      <w:tr>
        <w:tc>
          <w:tcPr>
            <w:tcW w:type="dxa" w:w="2880"/>
          </w:tcPr>
          <w:p>
            <w:r/>
            <w:r>
              <w:rPr>
                <w:b/>
                <w:sz w:val="20"/>
              </w:rPr>
              <w:t>10. Your Solution</w:t>
            </w:r>
          </w:p>
        </w:tc>
        <w:tc>
          <w:tcPr>
            <w:tcW w:type="dxa" w:w="6336"/>
          </w:tcPr>
          <w:p>
            <w:r/>
            <w:r>
              <w:rPr>
                <w:b w:val="0"/>
                <w:sz w:val="20"/>
              </w:rPr>
              <w:t>Flow Designer flow triggered on ticket creation (Category empty). It reads keywords in the Short Description, sets Category and Subcategory, and emails the caller. No code needed.</w:t>
            </w:r>
          </w:p>
        </w:tc>
      </w:tr>
    </w:tbl>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1" Type="http://schemas.openxmlformats.org/officeDocument/2006/relationships/customXml" Target="../customXml/item1.xml"/><Relationship Id="rId10" Type="http://schemas.openxmlformats.org/officeDocument/2006/relationships/theme" Target="theme/theme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hyperlink" TargetMode="External" Target="https://www.ideahackers.network/problem-solution-fit-canvas/"/><Relationship Id="rId8" Type="http://schemas.openxmlformats.org/officeDocument/2006/relationships/hyperlink" TargetMode="External" Target="https://medium.com/@epicantus/problem-solution-fit-canvas-aa3dd59cb4fe"/><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2022-10-03T08:04:00Z</dcterms:created>
  <dc:creator>Amarender Katkam</dc:creator>
  <cp:lastModifiedBy>Indra Chauhan</cp:lastModifiedBy>
  <cp:lastPrinted>2025-02-15T04:32:00Z</cp:lastPrinted>
  <dcterms:modified xsi:type="dcterms:W3CDTF">2025-02-15T04:33:00Z</dcterms:modified>
  <cp:revision>3</cp:revision>
</cp:coreProperties>
</file>