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0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5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 xml:space="preserve"> 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October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 xml:space="preserve"> 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2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0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2</w:t>
            </w:r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rPr>
                <w:b w:val="false"/>
                <w:i w:val="false"/>
                <w:strike w:val="false"/>
                <w:color w:val="000000"/>
                <w:sz w:val="24"/>
                <w:u w:val="none"/>
              </w:rPr>
              <w:t>SWTID-2026-9175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3ACE38A4" w:rsidR="00E370AF" w:rsidRDefault="00E370AF">
            <w:r>
              <w:t>Auto Ticket Classification using Flow Designer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</w:r>
      <w:r>
        <w:rPr>
          <w:b/>
        </w:rPr>
      </w:r>
      <w:r>
        <w:rPr>
          <w:b/>
        </w:rPr>
        <w:t>Solution Architecture Diagram – Auto Ticket Classification using Flow Designer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jc w:val="center"/>
        <w:rPr>
          <w:b/>
        </w:rPr>
      </w:pPr>
      <w:r>
        <w:rPr>
          <w:noProof/>
        </w:rPr>
      </w:r>
      <w:r>
        <w:drawing>
          <wp:inline xmlns:a="http://schemas.openxmlformats.org/drawingml/2006/main" xmlns:pic="http://schemas.openxmlformats.org/drawingml/2006/picture">
            <wp:extent cx="5669280" cy="1792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923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</w:r>
      <w:r>
        <w:rPr>
          <w:i/>
        </w:rPr>
        <w:t>Figure 1: Architecture and data flow of the Auto Ticket Classification solution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</w:r>
      <w:r>
        <w:rPr>
          <w:b/>
        </w:rPr>
        <w:t>Data flow:</w:t>
      </w:r>
    </w:p>
    <w:p w14:paraId="4E909796" w14:textId="77777777" w:rsidR="00E370AF" w:rsidRDefault="00000000">
      <w:pPr>
        <w:rPr>
          <w:b/>
        </w:rPr>
      </w:pPr>
      <w:r>
        <w:rPr>
          <w:b w:val="0"/>
          <w:i w:val="0"/>
        </w:rPr>
        <w:t>1. A student or teacher opens the Incident WorkFlow form and enters Caller and Short Description.</w:t>
      </w:r>
    </w:p>
    <w:p w14:paraId="4E909796" w14:textId="77777777" w:rsidR="00E370AF" w:rsidRDefault="00000000">
      <w:pPr>
        <w:rPr>
          <w:b/>
        </w:rPr>
      </w:pPr>
      <w:r>
        <w:rPr>
          <w:b w:val="0"/>
          <w:i w:val="0"/>
        </w:rPr>
        <w:t>2. The ticket is saved in the custom table u_incident_workflow with an auto-generated number.</w:t>
      </w:r>
    </w:p>
    <w:p w14:paraId="4E909796" w14:textId="77777777" w:rsidR="00E370AF" w:rsidRDefault="00000000">
      <w:pPr>
        <w:rPr>
          <w:b/>
        </w:rPr>
      </w:pPr>
      <w:r>
        <w:rPr>
          <w:b w:val="0"/>
          <w:i w:val="0"/>
        </w:rPr>
        <w:t>3. The Flow Designer flow Auto Classify School IT Tickets triggers on Record Created when Category is empty.</w:t>
      </w:r>
    </w:p>
    <w:p w14:paraId="4E909796" w14:textId="77777777" w:rsidR="00E370AF" w:rsidRDefault="00000000">
      <w:pPr>
        <w:rPr>
          <w:b/>
        </w:rPr>
      </w:pPr>
      <w:r>
        <w:rPr>
          <w:b w:val="0"/>
          <w:i w:val="0"/>
        </w:rPr>
        <w:t>4. If / Else If conditions check the Short Description keywords and the Update Record action sets Category and Subcategory.</w:t>
      </w:r>
    </w:p>
    <w:p w14:paraId="4E909796" w14:textId="77777777" w:rsidR="00E370AF" w:rsidRDefault="00000000">
      <w:pPr>
        <w:rPr>
          <w:b/>
        </w:rPr>
      </w:pPr>
      <w:r>
        <w:rPr>
          <w:b w:val="0"/>
          <w:i w:val="0"/>
        </w:rPr>
        <w:t>5. The Send Email action sends a confirmation email to the caller's email address.</w:t>
      </w:r>
    </w:p>
    <w:p w14:paraId="4E909796" w14:textId="77777777" w:rsidR="00E370AF" w:rsidRDefault="00000000">
      <w:pPr>
        <w:rPr>
          <w:b/>
        </w:rPr>
      </w:pPr>
      <w:r>
        <w:rPr>
          <w:b w:val="0"/>
          <w:i w:val="0"/>
        </w:rPr>
        <w:t>6. The project configuration is captured in an update set that is marked Complete and exported as XML.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ustomXml" Target="../customXml/item1.xml"/><Relationship Id="rId10" Type="http://schemas.openxmlformats.org/officeDocument/2006/relationships/image" Target="media/image2.png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g"/><Relationship Id="rId7" Type="http://schemas.openxmlformats.org/officeDocument/2006/relationships/hyperlink" TargetMode="External" Target="https://aws.amazon.com/blogs/industries/voice-applications-in-clinical-research-powered-by-ai-on-aws-part-1-architecture-and-design-considerations/"/><Relationship Id="rId8" Type="http://schemas.openxmlformats.org/officeDocument/2006/relationships/fontTable" Target="fontTable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2022-10-03T08:27:00Z</dcterms:created>
  <dc:creator>Amarender Katkam</dc:creator>
  <cp:lastModifiedBy>Indra Chauhan</cp:lastModifiedBy>
  <dcterms:modified xsi:type="dcterms:W3CDTF">2025-02-15T04:35:00Z</dcterms:modified>
  <cp:revision>2</cp:revision>
</cp:coreProperties>
</file>