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Identify the type of research you are conducting from the chosen set</w:t>
      </w:r>
    </w:p>
    <w:p w:rsidR="00000000" w:rsidDel="00000000" w:rsidP="00000000" w:rsidRDefault="00000000" w:rsidRPr="00000000" w14:paraId="00000002">
      <w:pPr>
        <w:rPr/>
      </w:pPr>
      <w:r w:rsidDel="00000000" w:rsidR="00000000" w:rsidRPr="00000000">
        <w:rPr>
          <w:rtl w:val="0"/>
        </w:rPr>
        <w:t xml:space="preserve">of research papers (e.g., fundamental research, pure research, or</w:t>
      </w:r>
    </w:p>
    <w:p w:rsidR="00000000" w:rsidDel="00000000" w:rsidP="00000000" w:rsidRDefault="00000000" w:rsidRPr="00000000" w14:paraId="00000003">
      <w:pPr>
        <w:rPr/>
      </w:pPr>
      <w:r w:rsidDel="00000000" w:rsidR="00000000" w:rsidRPr="00000000">
        <w:rPr>
          <w:rtl w:val="0"/>
        </w:rPr>
        <w:t xml:space="preserve">quantitative research) and justify your choice.</w:t>
      </w:r>
    </w:p>
    <w:p w:rsidR="00000000" w:rsidDel="00000000" w:rsidP="00000000" w:rsidRDefault="00000000" w:rsidRPr="00000000" w14:paraId="00000004">
      <w:pPr>
        <w:spacing w:after="240" w:before="240" w:lineRule="auto"/>
        <w:rPr/>
      </w:pPr>
      <w:r w:rsidDel="00000000" w:rsidR="00000000" w:rsidRPr="00000000">
        <w:rPr>
          <w:rtl w:val="0"/>
        </w:rPr>
        <w:t xml:space="preserve">For a project on small language models, the type of research being conducted, based on the chosen set of research papers, is </w:t>
      </w:r>
      <w:r w:rsidDel="00000000" w:rsidR="00000000" w:rsidRPr="00000000">
        <w:rPr>
          <w:b w:val="1"/>
          <w:rtl w:val="0"/>
        </w:rPr>
        <w:t xml:space="preserve">quantitative research</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b w:val="1"/>
          <w:rtl w:val="0"/>
        </w:rPr>
        <w:t xml:space="preserve">Justification</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The project likely involves analyzing small language models through empirical data, such as performance metrics (e.g., accuracy, inference speed, or memory usage) or comparisons with larger models. Quantitative research focuses on numerical data and measurable outcomes, which aligns with typical studies on small language models that evaluate their efficiency or task performance using benchmarks like GLUE or metrics like perplexity. For a project, you’re probably collecting data, running experiments, or analyzing results to draw conclusions about model effectiveness, all of which are hallmarks of quantitative research. While fundamental research could explore theoretical aspects (e.g., why small models generalize), the practical focus of a project on small language models emphasizes data-driven findings over purely theoretical inquiry.</w:t>
      </w:r>
    </w:p>
    <w:p w:rsidR="00000000" w:rsidDel="00000000" w:rsidP="00000000" w:rsidRDefault="00000000" w:rsidRPr="00000000" w14:paraId="00000007">
      <w:pPr>
        <w:rPr/>
      </w:pPr>
      <w:r w:rsidDel="00000000" w:rsidR="00000000" w:rsidRPr="00000000">
        <w:rPr>
          <w:rtl w:val="0"/>
        </w:rPr>
        <w:t xml:space="preserve">Q2) Select/ identify an appropriate data collection method (e.g., surveys,</w:t>
      </w:r>
    </w:p>
    <w:p w:rsidR="00000000" w:rsidDel="00000000" w:rsidP="00000000" w:rsidRDefault="00000000" w:rsidRPr="00000000" w14:paraId="00000008">
      <w:pPr>
        <w:rPr/>
      </w:pPr>
      <w:r w:rsidDel="00000000" w:rsidR="00000000" w:rsidRPr="00000000">
        <w:rPr>
          <w:rtl w:val="0"/>
        </w:rPr>
        <w:t xml:space="preserve">experiments, or secondary data) for the chosen set of research papers</w:t>
      </w:r>
    </w:p>
    <w:p w:rsidR="00000000" w:rsidDel="00000000" w:rsidP="00000000" w:rsidRDefault="00000000" w:rsidRPr="00000000" w14:paraId="00000009">
      <w:pPr>
        <w:rPr/>
      </w:pPr>
      <w:r w:rsidDel="00000000" w:rsidR="00000000" w:rsidRPr="00000000">
        <w:rPr>
          <w:rtl w:val="0"/>
        </w:rPr>
        <w:t xml:space="preserve">and explain why it is suitable for use.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7m9ovrtxh87p" w:id="0"/>
      <w:bookmarkEnd w:id="0"/>
      <w:r w:rsidDel="00000000" w:rsidR="00000000" w:rsidRPr="00000000">
        <w:rPr>
          <w:b w:val="1"/>
          <w:color w:val="000000"/>
          <w:sz w:val="26"/>
          <w:szCs w:val="26"/>
          <w:rtl w:val="0"/>
        </w:rPr>
        <w:t xml:space="preserve">Verified Research Papers on Small Language Models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Small Language Models: Survey, Measurements, and Insights</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URL</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https://arxiv.org/abs/2409.15790</w:t>
        </w:r>
      </w:hyperlink>
      <w:r w:rsidDel="00000000" w:rsidR="00000000" w:rsidRPr="00000000">
        <w:rPr>
          <w:rtl w:val="0"/>
        </w:rPr>
      </w:r>
    </w:p>
    <w:p w:rsidR="00000000" w:rsidDel="00000000" w:rsidP="00000000" w:rsidRDefault="00000000" w:rsidRPr="00000000" w14:paraId="0000000D">
      <w:pPr>
        <w:numPr>
          <w:ilvl w:val="1"/>
          <w:numId w:val="3"/>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paper surveys 70 state-of-the-art open-source SLMs (100M–5B parameters), analyzing their architectures, training datasets, and algorithms. It includes performance evaluations across domains like reasoning, mathematics, and in-context learning, with benchmarks on inference latency and memory footprints. Published on arXiv in September 2024, it’s a comprehensive resource for understanding SLM capabilities.</w:t>
      </w:r>
    </w:p>
    <w:p w:rsidR="00000000" w:rsidDel="00000000" w:rsidP="00000000" w:rsidRDefault="00000000" w:rsidRPr="00000000" w14:paraId="0000000E">
      <w:pPr>
        <w:rPr/>
      </w:pPr>
      <w:r w:rsidDel="00000000" w:rsidR="00000000" w:rsidRPr="00000000">
        <w:rPr>
          <w:b w:val="1"/>
          <w:rtl w:val="0"/>
        </w:rPr>
        <w:t xml:space="preserve">Title</w:t>
      </w:r>
      <w:r w:rsidDel="00000000" w:rsidR="00000000" w:rsidRPr="00000000">
        <w:rPr>
          <w:rtl w:val="0"/>
        </w:rPr>
        <w:t xml:space="preserve">: A Comprehensive Survey of Small Language Models in the Era of Large Language Models: Techniques, Enhancements, Applications, Collaboration with LLMs, and Trustworthiness</w:t>
      </w:r>
    </w:p>
    <w:p w:rsidR="00000000" w:rsidDel="00000000" w:rsidP="00000000" w:rsidRDefault="00000000" w:rsidRPr="00000000" w14:paraId="0000000F">
      <w:pPr>
        <w:numPr>
          <w:ilvl w:val="0"/>
          <w:numId w:val="14"/>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https://arxiv.org/abs/2411.03350</w:t>
        </w:r>
      </w:hyperlink>
      <w:r w:rsidDel="00000000" w:rsidR="00000000" w:rsidRPr="00000000">
        <w:rPr>
          <w:rtl w:val="0"/>
        </w:rPr>
      </w:r>
    </w:p>
    <w:p w:rsidR="00000000" w:rsidDel="00000000" w:rsidP="00000000" w:rsidRDefault="00000000" w:rsidRPr="00000000" w14:paraId="00000010">
      <w:pPr>
        <w:numPr>
          <w:ilvl w:val="0"/>
          <w:numId w:val="14"/>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This survey explores SLMs’ advantages over large language models, focusing on their low latency, cost-effectiveness, and adaptability for resource-constrained environments. It proposes a standardized definition for SLMs and covers their applications, enhancements, and reliability. Published on arXiv in November 2024, it’s highly relevant for your project.</w:t>
      </w:r>
    </w:p>
    <w:p w:rsidR="00000000" w:rsidDel="00000000" w:rsidP="00000000" w:rsidRDefault="00000000" w:rsidRPr="00000000" w14:paraId="00000011">
      <w:pPr>
        <w:rPr/>
      </w:pPr>
      <w:r w:rsidDel="00000000" w:rsidR="00000000" w:rsidRPr="00000000">
        <w:rPr>
          <w:b w:val="1"/>
          <w:rtl w:val="0"/>
        </w:rPr>
        <w:t xml:space="preserve">Title</w:t>
      </w:r>
      <w:r w:rsidDel="00000000" w:rsidR="00000000" w:rsidRPr="00000000">
        <w:rPr>
          <w:rtl w:val="0"/>
        </w:rPr>
        <w:t xml:space="preserve">: Small Language Models for Application Interactions: A Case Study</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https://arxiv.org/abs/2405.20347</w:t>
        </w:r>
      </w:hyperlink>
      <w:r w:rsidDel="00000000" w:rsidR="00000000" w:rsidRPr="00000000">
        <w:rPr>
          <w:rtl w:val="0"/>
        </w:rPr>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This paper examines the efficacy of SLMs in natural language interactions for a Microsoft internal application (cloud supply chain fulfillment). It demonstrates that SLMs can outperform larger models in accuracy and speed when fine-tuned on small datasets. Published on arXiv in May 2024, it provides practical insights for your project.</w:t>
      </w:r>
    </w:p>
    <w:p w:rsidR="00000000" w:rsidDel="00000000" w:rsidP="00000000" w:rsidRDefault="00000000" w:rsidRPr="00000000" w14:paraId="00000014">
      <w:pPr>
        <w:rPr/>
      </w:pPr>
      <w:r w:rsidDel="00000000" w:rsidR="00000000" w:rsidRPr="00000000">
        <w:rPr>
          <w:b w:val="1"/>
          <w:rtl w:val="0"/>
        </w:rPr>
        <w:t xml:space="preserve">Title</w:t>
      </w:r>
      <w:r w:rsidDel="00000000" w:rsidR="00000000" w:rsidRPr="00000000">
        <w:rPr>
          <w:rtl w:val="0"/>
        </w:rPr>
        <w:t xml:space="preserve">: TinyLlama: An Open-Source Small Language Model</w:t>
      </w:r>
    </w:p>
    <w:p w:rsidR="00000000" w:rsidDel="00000000" w:rsidP="00000000" w:rsidRDefault="00000000" w:rsidRPr="00000000" w14:paraId="00000015">
      <w:pPr>
        <w:numPr>
          <w:ilvl w:val="0"/>
          <w:numId w:val="13"/>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https://arxiv.org/abs/2401.02385</w:t>
        </w:r>
      </w:hyperlink>
      <w:r w:rsidDel="00000000" w:rsidR="00000000" w:rsidRPr="00000000">
        <w:rPr>
          <w:rtl w:val="0"/>
        </w:rPr>
      </w:r>
    </w:p>
    <w:p w:rsidR="00000000" w:rsidDel="00000000" w:rsidP="00000000" w:rsidRDefault="00000000" w:rsidRPr="00000000" w14:paraId="00000016">
      <w:pPr>
        <w:numPr>
          <w:ilvl w:val="0"/>
          <w:numId w:val="13"/>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This paper introduces TinyLlama, a 1.1B parameter SLM pre-trained on approximately 1 trillion tokens. It discusses the model’s design and performance, highlighting its efficiency for research and deployment. Posted on arXiv in January 2024, it’s a key reference for open-source SLM development.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b8e6fymn4z7" w:id="1"/>
      <w:bookmarkEnd w:id="1"/>
      <w:r w:rsidDel="00000000" w:rsidR="00000000" w:rsidRPr="00000000">
        <w:rPr>
          <w:b w:val="1"/>
          <w:color w:val="000000"/>
          <w:sz w:val="26"/>
          <w:szCs w:val="26"/>
          <w:rtl w:val="0"/>
        </w:rPr>
        <w:t xml:space="preserve">Selected Data Collection Method: Experiments</w:t>
      </w:r>
    </w:p>
    <w:p w:rsidR="00000000" w:rsidDel="00000000" w:rsidP="00000000" w:rsidRDefault="00000000" w:rsidRPr="00000000" w14:paraId="00000018">
      <w:pPr>
        <w:rPr/>
      </w:pPr>
      <w:r w:rsidDel="00000000" w:rsidR="00000000" w:rsidRPr="00000000">
        <w:rPr>
          <w:b w:val="1"/>
          <w:rtl w:val="0"/>
        </w:rPr>
        <w:t xml:space="preserve">Explanation of Suitability</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For a project on small language models (SLMs) based on the chosen research papers (e.g., "Small Language Models: Survey, Measurements, and Insights," "TinyLlama: An Open-Source Small Language Model," etc.), </w:t>
      </w:r>
      <w:r w:rsidDel="00000000" w:rsidR="00000000" w:rsidRPr="00000000">
        <w:rPr>
          <w:b w:val="1"/>
          <w:rtl w:val="0"/>
        </w:rPr>
        <w:t xml:space="preserve">experiments</w:t>
      </w:r>
      <w:r w:rsidDel="00000000" w:rsidR="00000000" w:rsidRPr="00000000">
        <w:rPr>
          <w:rtl w:val="0"/>
        </w:rPr>
        <w:t xml:space="preserve"> are the most appropriate data collection method. Here’s why this method is suitable, grounded in the context of the papers and the project’s focus:</w:t>
      </w:r>
    </w:p>
    <w:p w:rsidR="00000000" w:rsidDel="00000000" w:rsidP="00000000" w:rsidRDefault="00000000" w:rsidRPr="00000000" w14:paraId="0000001A">
      <w:pPr>
        <w:numPr>
          <w:ilvl w:val="0"/>
          <w:numId w:val="11"/>
        </w:numPr>
        <w:spacing w:after="0" w:afterAutospacing="0" w:before="240" w:lineRule="auto"/>
        <w:ind w:left="720" w:hanging="360"/>
      </w:pPr>
      <w:r w:rsidDel="00000000" w:rsidR="00000000" w:rsidRPr="00000000">
        <w:rPr>
          <w:b w:val="1"/>
          <w:rtl w:val="0"/>
        </w:rPr>
        <w:t xml:space="preserve">Nature of SLM Research</w:t>
      </w:r>
      <w:r w:rsidDel="00000000" w:rsidR="00000000" w:rsidRPr="00000000">
        <w:rPr>
          <w:rtl w:val="0"/>
        </w:rPr>
        <w:t xml:space="preserve">:</w:t>
      </w:r>
    </w:p>
    <w:p w:rsidR="00000000" w:rsidDel="00000000" w:rsidP="00000000" w:rsidRDefault="00000000" w:rsidRPr="00000000" w14:paraId="0000001B">
      <w:pPr>
        <w:numPr>
          <w:ilvl w:val="1"/>
          <w:numId w:val="11"/>
        </w:numPr>
        <w:spacing w:after="0" w:afterAutospacing="0" w:before="0" w:beforeAutospacing="0" w:lineRule="auto"/>
        <w:ind w:left="1440" w:hanging="360"/>
      </w:pPr>
      <w:r w:rsidDel="00000000" w:rsidR="00000000" w:rsidRPr="00000000">
        <w:rPr>
          <w:rtl w:val="0"/>
        </w:rPr>
        <w:t xml:space="preserve">The research papers emphasize empirical evaluation of SLMs, focusing on performance metrics like accuracy, inference latency, memory usage, and task-specific scores (e.g., BLEU, perplexity). For example, the paper "Small Language Models: Survey, Measurements, and Insights" (arXiv:2409.15790) includes benchmark results from experiments testing 70 SLMs across reasoning and math tasks. Similarly, "TinyLlama" (arXiv:2401.02385) reports experimental results from training and evaluating a 1.1B parameter model.</w:t>
      </w:r>
    </w:p>
    <w:p w:rsidR="00000000" w:rsidDel="00000000" w:rsidP="00000000" w:rsidRDefault="00000000" w:rsidRPr="00000000" w14:paraId="0000001C">
      <w:pPr>
        <w:numPr>
          <w:ilvl w:val="1"/>
          <w:numId w:val="11"/>
        </w:numPr>
        <w:spacing w:after="240" w:before="0" w:beforeAutospacing="0" w:lineRule="auto"/>
        <w:ind w:left="1440" w:hanging="360"/>
      </w:pPr>
      <w:r w:rsidDel="00000000" w:rsidR="00000000" w:rsidRPr="00000000">
        <w:rPr>
          <w:rtl w:val="0"/>
        </w:rPr>
        <w:t xml:space="preserve">Experiments involve training, fine-tuning, or testing SLMs on datasets (e.g., GLUE, SQuAD) to measure their capabilities. This aligns with the project’s likely goal of assessing SLM performance or efficiency.</w:t>
      </w:r>
    </w:p>
    <w:p w:rsidR="00000000" w:rsidDel="00000000" w:rsidP="00000000" w:rsidRDefault="00000000" w:rsidRPr="00000000" w14:paraId="0000001D">
      <w:pPr>
        <w:spacing w:after="240" w:before="240" w:lineRule="auto"/>
        <w:ind w:left="720" w:hanging="360"/>
        <w:rPr/>
      </w:pPr>
      <w:r w:rsidDel="00000000" w:rsidR="00000000" w:rsidRPr="00000000">
        <w:rPr>
          <w:b w:val="1"/>
          <w:rtl w:val="0"/>
        </w:rPr>
        <w:t xml:space="preserve">Quantitative Research Context</w:t>
      </w:r>
      <w:r w:rsidDel="00000000" w:rsidR="00000000" w:rsidRPr="00000000">
        <w:rPr>
          <w:rtl w:val="0"/>
        </w:rPr>
        <w:t xml:space="preserve">:</w:t>
      </w:r>
    </w:p>
    <w:p w:rsidR="00000000" w:rsidDel="00000000" w:rsidP="00000000" w:rsidRDefault="00000000" w:rsidRPr="00000000" w14:paraId="0000001E">
      <w:pPr>
        <w:numPr>
          <w:ilvl w:val="0"/>
          <w:numId w:val="12"/>
        </w:numPr>
        <w:spacing w:after="240" w:before="240" w:lineRule="auto"/>
        <w:ind w:left="720" w:hanging="360"/>
      </w:pPr>
      <w:r w:rsidDel="00000000" w:rsidR="00000000" w:rsidRPr="00000000">
        <w:rPr>
          <w:rtl w:val="0"/>
        </w:rPr>
        <w:t xml:space="preserve">As established earlier, the research type for your project is </w:t>
      </w:r>
      <w:r w:rsidDel="00000000" w:rsidR="00000000" w:rsidRPr="00000000">
        <w:rPr>
          <w:b w:val="1"/>
          <w:rtl w:val="0"/>
        </w:rPr>
        <w:t xml:space="preserve">quantitative research</w:t>
      </w:r>
      <w:r w:rsidDel="00000000" w:rsidR="00000000" w:rsidRPr="00000000">
        <w:rPr>
          <w:rtl w:val="0"/>
        </w:rPr>
        <w:t xml:space="preserve">, which relies on numerical data to test hypotheses or compare models. Experiments are ideal for generating such data, as they allow you to control variables (e.g., model size, dataset) and measure outcomes (e.g., accuracy, speed). For instance, "A Comprehensive Survey of Small Language Models" (arXiv:2411.03350) uses experimental data to compare SLMs’ latency and cost-effectiveness, a key focus for your project.</w:t>
      </w:r>
    </w:p>
    <w:p w:rsidR="00000000" w:rsidDel="00000000" w:rsidP="00000000" w:rsidRDefault="00000000" w:rsidRPr="00000000" w14:paraId="0000001F">
      <w:pPr>
        <w:spacing w:after="240" w:before="240" w:lineRule="auto"/>
        <w:ind w:left="720" w:hanging="360"/>
        <w:rPr/>
      </w:pPr>
      <w:r w:rsidDel="00000000" w:rsidR="00000000" w:rsidRPr="00000000">
        <w:rPr>
          <w:b w:val="1"/>
          <w:rtl w:val="0"/>
        </w:rPr>
        <w:t xml:space="preserve">Practical Relevance for the Project</w:t>
      </w:r>
      <w:r w:rsidDel="00000000" w:rsidR="00000000" w:rsidRPr="00000000">
        <w:rPr>
          <w:rtl w:val="0"/>
        </w:rPr>
        <w:t xml:space="preserve">:</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Your project likely involves evaluating or developing SLMs, requiring data on how they perform under specific conditions (e.g., on edge devices or with limited resources). Experiments enable you to train or test SLMs on relevant datasets, replicate benchmarks from the papers, or explore new configurations. For example, the case study in "Small Language Models for Application Interactions" (arXiv:2405.20347) uses experiments to measure SLM accuracy in a Microsoft application, a practical approach you could emulate.</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Experiments allow you to collect primary data tailored to your project’s objectives, such as comparing SLMs to larger models or testing their scalability.</w:t>
      </w:r>
    </w:p>
    <w:p w:rsidR="00000000" w:rsidDel="00000000" w:rsidP="00000000" w:rsidRDefault="00000000" w:rsidRPr="00000000" w14:paraId="00000022">
      <w:pPr>
        <w:spacing w:after="240" w:before="240" w:lineRule="auto"/>
        <w:ind w:left="720" w:hanging="360"/>
        <w:rPr/>
      </w:pPr>
      <w:r w:rsidDel="00000000" w:rsidR="00000000" w:rsidRPr="00000000">
        <w:rPr>
          <w:b w:val="1"/>
          <w:rtl w:val="0"/>
        </w:rPr>
        <w:t xml:space="preserve">Comparison with Other Methods</w:t>
      </w:r>
      <w:r w:rsidDel="00000000" w:rsidR="00000000" w:rsidRPr="00000000">
        <w:rPr>
          <w:rtl w:val="0"/>
        </w:rPr>
        <w:t xml:space="preserve">:</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Surveys could gather opinions from researchers or users about SLMs, but they are less suitable here, as the papers focus on objective performance metrics rather than subjective feedback. Surveys would not provide the numerical data needed for quantitative analysis.</w:t>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b w:val="1"/>
          <w:rtl w:val="0"/>
        </w:rPr>
        <w:t xml:space="preserve">Secondary Data</w:t>
      </w:r>
      <w:r w:rsidDel="00000000" w:rsidR="00000000" w:rsidRPr="00000000">
        <w:rPr>
          <w:rtl w:val="0"/>
        </w:rPr>
        <w:t xml:space="preserve">: While secondary data (e.g., using existing datasets or results from the papers) could be useful, it limits your ability to generate original findings for your project. The papers already provide secondary data (e.g., benchmark results), but experiments allow you to build on this by testing new hypotheses or configurations, adding value to your project.</w:t>
      </w:r>
    </w:p>
    <w:p w:rsidR="00000000" w:rsidDel="00000000" w:rsidP="00000000" w:rsidRDefault="00000000" w:rsidRPr="00000000" w14:paraId="00000025">
      <w:pPr>
        <w:numPr>
          <w:ilvl w:val="0"/>
          <w:numId w:val="8"/>
        </w:numPr>
        <w:spacing w:after="240" w:before="0" w:beforeAutospacing="0" w:lineRule="auto"/>
        <w:ind w:left="720" w:hanging="360"/>
      </w:pPr>
      <w:r w:rsidDel="00000000" w:rsidR="00000000" w:rsidRPr="00000000">
        <w:rPr>
          <w:rtl w:val="0"/>
        </w:rPr>
        <w:t xml:space="preserve">Experiments are more direct and flexible, enabling you to address specific research questions (e.g., “How does a 1B parameter SLM perform on a new dataset?”) that secondary data might not cover.</w:t>
      </w:r>
    </w:p>
    <w:p w:rsidR="00000000" w:rsidDel="00000000" w:rsidP="00000000" w:rsidRDefault="00000000" w:rsidRPr="00000000" w14:paraId="00000026">
      <w:pPr>
        <w:spacing w:after="240" w:before="240" w:lineRule="auto"/>
        <w:ind w:left="720" w:hanging="360"/>
        <w:rPr/>
      </w:pPr>
      <w:r w:rsidDel="00000000" w:rsidR="00000000" w:rsidRPr="00000000">
        <w:rPr>
          <w:b w:val="1"/>
          <w:rtl w:val="0"/>
        </w:rPr>
        <w:t xml:space="preserve">Feasibility and Alignment with Papers</w:t>
      </w:r>
      <w:r w:rsidDel="00000000" w:rsidR="00000000" w:rsidRPr="00000000">
        <w:rPr>
          <w:rtl w:val="0"/>
        </w:rPr>
        <w:t xml:space="preserve">:</w:t>
      </w:r>
    </w:p>
    <w:p w:rsidR="00000000" w:rsidDel="00000000" w:rsidP="00000000" w:rsidRDefault="00000000" w:rsidRPr="00000000" w14:paraId="00000027">
      <w:pPr>
        <w:numPr>
          <w:ilvl w:val="0"/>
          <w:numId w:val="10"/>
        </w:numPr>
        <w:spacing w:after="0" w:afterAutospacing="0" w:before="240" w:lineRule="auto"/>
        <w:ind w:left="720" w:hanging="360"/>
      </w:pPr>
      <w:r w:rsidDel="00000000" w:rsidR="00000000" w:rsidRPr="00000000">
        <w:rPr>
          <w:rtl w:val="0"/>
        </w:rPr>
        <w:t xml:space="preserve">The referenced papers describe experiments involving training SLMs, fine-tuning them, or evaluating them on standard benchmarks. For example, "TinyLlama" details its pre-training on 1 trillion tokens and subsequent evaluation, providing a blueprint for experimental design. Your project can adopt similar methods, using open-source SLMs (e.g., TinyLlama) or datasets to conduct experiments.</w:t>
      </w:r>
    </w:p>
    <w:p w:rsidR="00000000" w:rsidDel="00000000" w:rsidP="00000000" w:rsidRDefault="00000000" w:rsidRPr="00000000" w14:paraId="00000028">
      <w:pPr>
        <w:numPr>
          <w:ilvl w:val="0"/>
          <w:numId w:val="10"/>
        </w:numPr>
        <w:spacing w:after="240" w:before="0" w:beforeAutospacing="0" w:lineRule="auto"/>
        <w:ind w:left="720" w:hanging="360"/>
      </w:pPr>
      <w:r w:rsidDel="00000000" w:rsidR="00000000" w:rsidRPr="00000000">
        <w:rPr>
          <w:rtl w:val="0"/>
        </w:rPr>
        <w:t xml:space="preserve">Experiments are feasible with access to computational resources (e.g., GPUs) and open-source tools, which are common in SLM research, as noted in the papers.</w:t>
      </w:r>
    </w:p>
    <w:p w:rsidR="00000000" w:rsidDel="00000000" w:rsidP="00000000" w:rsidRDefault="00000000" w:rsidRPr="00000000" w14:paraId="00000029">
      <w:pPr>
        <w:rPr>
          <w:b w:val="1"/>
        </w:rPr>
      </w:pPr>
      <w:r w:rsidDel="00000000" w:rsidR="00000000" w:rsidRPr="00000000">
        <w:rPr>
          <w:b w:val="1"/>
          <w:rtl w:val="0"/>
        </w:rPr>
        <w:t xml:space="preserve"> Q3) Consider the following data set representing the number of successful transactions (in thousands) by a group of 10 e-commerce businesses in a month: Data: 25, 30, 27, 29, 24, 26, 35, 28, 32, 31 Calculate the mean, median, and mode for the given data set.</w:t>
      </w:r>
    </w:p>
    <w:p w:rsidR="00000000" w:rsidDel="00000000" w:rsidP="00000000" w:rsidRDefault="00000000" w:rsidRPr="00000000" w14:paraId="0000002A">
      <w:pPr>
        <w:spacing w:after="240" w:before="240" w:lineRule="auto"/>
        <w:rPr/>
      </w:pPr>
      <w:r w:rsidDel="00000000" w:rsidR="00000000" w:rsidRPr="00000000">
        <w:rPr>
          <w:rtl w:val="0"/>
        </w:rPr>
        <w:t xml:space="preserve">Let’s calculate the mean, median, and mode for the given data set representing the number of successful transactions (in thousands) by 10 e-commerce businesses:</w:t>
      </w:r>
    </w:p>
    <w:p w:rsidR="00000000" w:rsidDel="00000000" w:rsidP="00000000" w:rsidRDefault="00000000" w:rsidRPr="00000000" w14:paraId="0000002B">
      <w:pPr>
        <w:spacing w:after="240" w:before="240" w:lineRule="auto"/>
        <w:rPr/>
      </w:pPr>
      <w:r w:rsidDel="00000000" w:rsidR="00000000" w:rsidRPr="00000000">
        <w:rPr>
          <w:rtl w:val="0"/>
        </w:rPr>
        <w:t xml:space="preserve">Data: 25, 30, 27, 29, 24, 26, 35, 28, 32, 31</w:t>
      </w:r>
    </w:p>
    <w:p w:rsidR="00000000" w:rsidDel="00000000" w:rsidP="00000000" w:rsidRDefault="00000000" w:rsidRPr="00000000" w14:paraId="0000002C">
      <w:pPr>
        <w:pStyle w:val="Heading4"/>
        <w:keepNext w:val="0"/>
        <w:keepLines w:val="0"/>
        <w:rPr>
          <w:color w:val="000000"/>
          <w:sz w:val="26"/>
          <w:szCs w:val="26"/>
        </w:rPr>
      </w:pPr>
      <w:bookmarkStart w:colFirst="0" w:colLast="0" w:name="_qoc3k27htduk" w:id="2"/>
      <w:bookmarkEnd w:id="2"/>
      <w:r w:rsidDel="00000000" w:rsidR="00000000" w:rsidRPr="00000000">
        <w:rPr>
          <w:color w:val="000000"/>
          <w:sz w:val="26"/>
          <w:szCs w:val="26"/>
          <w:rtl w:val="0"/>
        </w:rPr>
        <w:t xml:space="preserve">1. Mean</w:t>
      </w:r>
    </w:p>
    <w:p w:rsidR="00000000" w:rsidDel="00000000" w:rsidP="00000000" w:rsidRDefault="00000000" w:rsidRPr="00000000" w14:paraId="0000002D">
      <w:pPr>
        <w:spacing w:after="240" w:before="240" w:lineRule="auto"/>
        <w:rPr/>
      </w:pPr>
      <w:r w:rsidDel="00000000" w:rsidR="00000000" w:rsidRPr="00000000">
        <w:rPr>
          <w:rtl w:val="0"/>
        </w:rPr>
        <w:t xml:space="preserve">The mean is the average, calculated by summing all values and dividing by the number of values.</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rtl w:val="0"/>
        </w:rPr>
        <w:t xml:space="preserve">Sum of the data:</w:t>
        <w:br w:type="textWrapping"/>
        <w:t xml:space="preserve"> 25 + 30 + 27 + 29 + 24 + 26 + 35 + 28 + 32 + 31 = 287</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Number of values: 10</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rtl w:val="0"/>
        </w:rPr>
        <w:t xml:space="preserve">Mean:</w:t>
        <w:br w:type="textWrapping"/>
        <w:t xml:space="preserve"> 287 ÷ 10 = 28.7</w:t>
      </w:r>
    </w:p>
    <w:p w:rsidR="00000000" w:rsidDel="00000000" w:rsidP="00000000" w:rsidRDefault="00000000" w:rsidRPr="00000000" w14:paraId="00000031">
      <w:pPr>
        <w:pStyle w:val="Heading4"/>
        <w:keepNext w:val="0"/>
        <w:keepLines w:val="0"/>
        <w:rPr>
          <w:color w:val="000000"/>
          <w:sz w:val="26"/>
          <w:szCs w:val="26"/>
        </w:rPr>
      </w:pPr>
      <w:bookmarkStart w:colFirst="0" w:colLast="0" w:name="_pb6pzut25po9" w:id="3"/>
      <w:bookmarkEnd w:id="3"/>
      <w:r w:rsidDel="00000000" w:rsidR="00000000" w:rsidRPr="00000000">
        <w:rPr>
          <w:color w:val="000000"/>
          <w:sz w:val="26"/>
          <w:szCs w:val="26"/>
          <w:rtl w:val="0"/>
        </w:rPr>
        <w:t xml:space="preserve">2. Median</w:t>
      </w:r>
    </w:p>
    <w:p w:rsidR="00000000" w:rsidDel="00000000" w:rsidP="00000000" w:rsidRDefault="00000000" w:rsidRPr="00000000" w14:paraId="00000032">
      <w:pPr>
        <w:spacing w:after="240" w:before="240" w:lineRule="auto"/>
        <w:rPr/>
      </w:pPr>
      <w:r w:rsidDel="00000000" w:rsidR="00000000" w:rsidRPr="00000000">
        <w:rPr>
          <w:rtl w:val="0"/>
        </w:rPr>
        <w:t xml:space="preserve">The median is the middle value when the data is arranged in ascending order. If there is an even number of values, the median is the average of the two middle values.</w:t>
      </w:r>
    </w:p>
    <w:p w:rsidR="00000000" w:rsidDel="00000000" w:rsidP="00000000" w:rsidRDefault="00000000" w:rsidRPr="00000000" w14:paraId="00000033">
      <w:pPr>
        <w:numPr>
          <w:ilvl w:val="0"/>
          <w:numId w:val="9"/>
        </w:numPr>
        <w:spacing w:after="0" w:afterAutospacing="0" w:before="240" w:lineRule="auto"/>
        <w:ind w:left="720" w:hanging="360"/>
      </w:pPr>
      <w:r w:rsidDel="00000000" w:rsidR="00000000" w:rsidRPr="00000000">
        <w:rPr>
          <w:rtl w:val="0"/>
        </w:rPr>
        <w:t xml:space="preserve">Step 1: Arrange the data in ascending order:</w:t>
        <w:br w:type="textWrapping"/>
        <w:t xml:space="preserve"> 24, 25, 26, 27, 28, 29, 30, 31, 32, 35</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rtl w:val="0"/>
        </w:rPr>
        <w:t xml:space="preserve">Step 2: Identify the middle values:</w:t>
        <w:br w:type="textWrapping"/>
        <w:t xml:space="preserve"> With 10 values (even number), the middle values are the 5th and 6th values:</w:t>
        <w:br w:type="textWrapping"/>
        <w:t xml:space="preserve"> 28 (5th) and 29 (6th)</w:t>
      </w:r>
    </w:p>
    <w:p w:rsidR="00000000" w:rsidDel="00000000" w:rsidP="00000000" w:rsidRDefault="00000000" w:rsidRPr="00000000" w14:paraId="00000035">
      <w:pPr>
        <w:numPr>
          <w:ilvl w:val="0"/>
          <w:numId w:val="9"/>
        </w:numPr>
        <w:spacing w:after="240" w:before="0" w:beforeAutospacing="0" w:lineRule="auto"/>
        <w:ind w:left="720" w:hanging="360"/>
      </w:pPr>
      <w:r w:rsidDel="00000000" w:rsidR="00000000" w:rsidRPr="00000000">
        <w:rPr>
          <w:rtl w:val="0"/>
        </w:rPr>
        <w:t xml:space="preserve">Step 3: Calculate the median:</w:t>
        <w:br w:type="textWrapping"/>
        <w:t xml:space="preserve"> Median = (28 + 29) ÷ 2 = 57 ÷ 2 = 28.5</w:t>
      </w:r>
    </w:p>
    <w:p w:rsidR="00000000" w:rsidDel="00000000" w:rsidP="00000000" w:rsidRDefault="00000000" w:rsidRPr="00000000" w14:paraId="00000036">
      <w:pPr>
        <w:pStyle w:val="Heading4"/>
        <w:keepNext w:val="0"/>
        <w:keepLines w:val="0"/>
        <w:rPr>
          <w:color w:val="000000"/>
          <w:sz w:val="26"/>
          <w:szCs w:val="26"/>
        </w:rPr>
      </w:pPr>
      <w:bookmarkStart w:colFirst="0" w:colLast="0" w:name="_f330ojap2wqi" w:id="4"/>
      <w:bookmarkEnd w:id="4"/>
      <w:r w:rsidDel="00000000" w:rsidR="00000000" w:rsidRPr="00000000">
        <w:rPr>
          <w:color w:val="000000"/>
          <w:sz w:val="26"/>
          <w:szCs w:val="26"/>
          <w:rtl w:val="0"/>
        </w:rPr>
        <w:t xml:space="preserve">3. Mode</w:t>
      </w:r>
    </w:p>
    <w:p w:rsidR="00000000" w:rsidDel="00000000" w:rsidP="00000000" w:rsidRDefault="00000000" w:rsidRPr="00000000" w14:paraId="00000037">
      <w:pPr>
        <w:spacing w:after="240" w:before="240" w:lineRule="auto"/>
        <w:rPr/>
      </w:pPr>
      <w:r w:rsidDel="00000000" w:rsidR="00000000" w:rsidRPr="00000000">
        <w:rPr>
          <w:rtl w:val="0"/>
        </w:rPr>
        <w:t xml:space="preserve">The mode is the value that appears most frequently in the data set.</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rtl w:val="0"/>
        </w:rPr>
        <w:t xml:space="preserve">Frequency of each value:</w:t>
        <w:br w:type="textWrapping"/>
        <w:t xml:space="preserve"> 24: 1 time</w:t>
        <w:br w:type="textWrapping"/>
        <w:t xml:space="preserve"> 25: 1 time</w:t>
        <w:br w:type="textWrapping"/>
        <w:t xml:space="preserve"> 26: 1 time</w:t>
        <w:br w:type="textWrapping"/>
        <w:t xml:space="preserve"> 27: 1 time</w:t>
        <w:br w:type="textWrapping"/>
        <w:t xml:space="preserve"> 28: 1 time</w:t>
        <w:br w:type="textWrapping"/>
        <w:t xml:space="preserve"> 29: 1 time</w:t>
        <w:br w:type="textWrapping"/>
        <w:t xml:space="preserve"> 30: 1 time</w:t>
        <w:br w:type="textWrapping"/>
        <w:t xml:space="preserve"> 31: 1 time</w:t>
        <w:br w:type="textWrapping"/>
        <w:t xml:space="preserve"> 32: 1 time</w:t>
        <w:br w:type="textWrapping"/>
        <w:t xml:space="preserve"> 35: 1 time</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Observation: Each value appears exactly once, so there is no value that occurs more frequently than others.</w:t>
      </w:r>
    </w:p>
    <w:p w:rsidR="00000000" w:rsidDel="00000000" w:rsidP="00000000" w:rsidRDefault="00000000" w:rsidRPr="00000000" w14:paraId="0000003A">
      <w:pPr>
        <w:numPr>
          <w:ilvl w:val="0"/>
          <w:numId w:val="7"/>
        </w:numPr>
        <w:spacing w:after="240" w:before="0" w:beforeAutospacing="0" w:lineRule="auto"/>
        <w:ind w:left="720" w:hanging="360"/>
      </w:pPr>
      <w:r w:rsidDel="00000000" w:rsidR="00000000" w:rsidRPr="00000000">
        <w:rPr>
          <w:rtl w:val="0"/>
        </w:rPr>
        <w:t xml:space="preserve">Mode: No mode (as no value repeats).</w:t>
      </w:r>
    </w:p>
    <w:p w:rsidR="00000000" w:rsidDel="00000000" w:rsidP="00000000" w:rsidRDefault="00000000" w:rsidRPr="00000000" w14:paraId="0000003B">
      <w:pPr>
        <w:pStyle w:val="Heading4"/>
        <w:keepNext w:val="0"/>
        <w:keepLines w:val="0"/>
        <w:rPr>
          <w:color w:val="000000"/>
          <w:sz w:val="26"/>
          <w:szCs w:val="26"/>
        </w:rPr>
      </w:pPr>
      <w:bookmarkStart w:colFirst="0" w:colLast="0" w:name="_pkfv20p6l6jm" w:id="5"/>
      <w:bookmarkEnd w:id="5"/>
      <w:r w:rsidDel="00000000" w:rsidR="00000000" w:rsidRPr="00000000">
        <w:rPr>
          <w:color w:val="000000"/>
          <w:sz w:val="26"/>
          <w:szCs w:val="26"/>
          <w:rtl w:val="0"/>
        </w:rPr>
        <w:t xml:space="preserve">Final Answer:</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rtl w:val="0"/>
        </w:rPr>
        <w:t xml:space="preserve">Mean: 28.7</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Median: 28.5</w:t>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rtl w:val="0"/>
        </w:rPr>
        <w:t xml:space="preserve">Mode: No mode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b w:val="1"/>
          <w:color w:val="000000"/>
          <w:u w:val="single"/>
        </w:rPr>
      </w:pPr>
      <w:bookmarkStart w:colFirst="0" w:colLast="0" w:name="_m096n6af8e6" w:id="6"/>
      <w:bookmarkEnd w:id="6"/>
      <w:r w:rsidDel="00000000" w:rsidR="00000000" w:rsidRPr="00000000">
        <w:rPr>
          <w:b w:val="1"/>
          <w:color w:val="000000"/>
          <w:u w:val="single"/>
          <w:rtl w:val="0"/>
        </w:rPr>
        <w:t xml:space="preserve">Question 4:</w:t>
      </w:r>
    </w:p>
    <w:p w:rsidR="00000000" w:rsidDel="00000000" w:rsidP="00000000" w:rsidRDefault="00000000" w:rsidRPr="00000000" w14:paraId="00000041">
      <w:pPr>
        <w:rPr>
          <w:b w:val="1"/>
        </w:rPr>
      </w:pPr>
      <w:r w:rsidDel="00000000" w:rsidR="00000000" w:rsidRPr="00000000">
        <w:rPr>
          <w:b w:val="1"/>
          <w:rtl w:val="0"/>
        </w:rPr>
        <w:t xml:space="preserve">The following data represents the number of hours worked by a group of 8 software engineers in a week: Data: 40, 42, 38, 45, 50, 39, 44, 41 Calculate the range, variance, and standard deviation for the given dataset.</w:t>
      </w:r>
    </w:p>
    <w:p w:rsidR="00000000" w:rsidDel="00000000" w:rsidP="00000000" w:rsidRDefault="00000000" w:rsidRPr="00000000" w14:paraId="00000042">
      <w:pPr>
        <w:spacing w:after="240" w:before="240" w:lineRule="auto"/>
        <w:rPr/>
      </w:pPr>
      <w:r w:rsidDel="00000000" w:rsidR="00000000" w:rsidRPr="00000000">
        <w:rPr>
          <w:rtl w:val="0"/>
        </w:rPr>
        <w:t xml:space="preserve">Data: 40, 42, 38, 45, 50, 39, 44, 41</w:t>
      </w:r>
    </w:p>
    <w:p w:rsidR="00000000" w:rsidDel="00000000" w:rsidP="00000000" w:rsidRDefault="00000000" w:rsidRPr="00000000" w14:paraId="00000043">
      <w:pPr>
        <w:spacing w:after="240" w:before="240" w:lineRule="auto"/>
        <w:ind w:left="720" w:firstLine="0"/>
        <w:rPr/>
      </w:pPr>
      <w:r w:rsidDel="00000000" w:rsidR="00000000" w:rsidRPr="00000000">
        <w:rPr/>
        <w:drawing>
          <wp:inline distB="114300" distT="114300" distL="114300" distR="114300">
            <wp:extent cx="4557713" cy="6818338"/>
            <wp:effectExtent b="0" l="0" r="0" t="0"/>
            <wp:docPr id="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557713" cy="68183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drawing>
          <wp:inline distB="114300" distT="114300" distL="114300" distR="114300">
            <wp:extent cx="5943600" cy="977900"/>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4"/>
        <w:keepNext w:val="0"/>
        <w:keepLines w:val="0"/>
        <w:rPr>
          <w:color w:val="000000"/>
          <w:sz w:val="26"/>
          <w:szCs w:val="26"/>
        </w:rPr>
      </w:pPr>
      <w:bookmarkStart w:colFirst="0" w:colLast="0" w:name="_m3bxdx6r3jo6" w:id="7"/>
      <w:bookmarkEnd w:id="7"/>
      <w:r w:rsidDel="00000000" w:rsidR="00000000" w:rsidRPr="00000000">
        <w:rPr>
          <w:color w:val="000000"/>
          <w:sz w:val="26"/>
          <w:szCs w:val="26"/>
          <w:rtl w:val="0"/>
        </w:rPr>
        <w:t xml:space="preserve">Final Answer:</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rtl w:val="0"/>
        </w:rPr>
        <w:t xml:space="preserve">Range: 12</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rtl w:val="0"/>
        </w:rPr>
        <w:t xml:space="preserve">Variance: 15.125</w:t>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Standard Deviation: ≈ 3.887</w:t>
      </w:r>
    </w:p>
    <w:p w:rsidR="00000000" w:rsidDel="00000000" w:rsidP="00000000" w:rsidRDefault="00000000" w:rsidRPr="00000000" w14:paraId="00000049">
      <w:pPr>
        <w:pStyle w:val="Heading3"/>
        <w:rPr>
          <w:b w:val="1"/>
          <w:color w:val="000000"/>
          <w:u w:val="single"/>
        </w:rPr>
      </w:pPr>
      <w:bookmarkStart w:colFirst="0" w:colLast="0" w:name="_zf5g2kkosxe7" w:id="8"/>
      <w:bookmarkEnd w:id="8"/>
      <w:r w:rsidDel="00000000" w:rsidR="00000000" w:rsidRPr="00000000">
        <w:rPr>
          <w:b w:val="1"/>
          <w:color w:val="000000"/>
          <w:u w:val="single"/>
          <w:rtl w:val="0"/>
        </w:rPr>
        <w:t xml:space="preserve">Question 5:</w:t>
      </w:r>
    </w:p>
    <w:p w:rsidR="00000000" w:rsidDel="00000000" w:rsidP="00000000" w:rsidRDefault="00000000" w:rsidRPr="00000000" w14:paraId="0000004A">
      <w:pPr>
        <w:rPr>
          <w:b w:val="1"/>
        </w:rPr>
      </w:pPr>
      <w:r w:rsidDel="00000000" w:rsidR="00000000" w:rsidRPr="00000000">
        <w:rPr>
          <w:b w:val="1"/>
          <w:rtl w:val="0"/>
        </w:rPr>
        <w:t xml:space="preserve">Consider a scenario where a data center has 5 servers, and each server has a 0.8 probability of being operational at any given time. What is the probability that exactly 3 servers are operational out of the 5 servers? Use the Binomial distribution formula.</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drawing>
          <wp:inline distB="114300" distT="114300" distL="114300" distR="114300">
            <wp:extent cx="5024438" cy="5652492"/>
            <wp:effectExtent b="0" l="0" r="0" t="0"/>
            <wp:docPr id="3"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024438" cy="565249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Assignment 3:</w:t>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Q1) Create a manuscript on the chosen topic in a group of 5 (Students)</w:t>
      </w:r>
    </w:p>
    <w:p w:rsidR="00000000" w:rsidDel="00000000" w:rsidP="00000000" w:rsidRDefault="00000000" w:rsidRPr="00000000" w14:paraId="0000004F">
      <w:pPr>
        <w:spacing w:after="240" w:before="240" w:lineRule="auto"/>
        <w:ind w:left="720" w:firstLine="0"/>
        <w:rPr/>
      </w:pPr>
      <w:r w:rsidDel="00000000" w:rsidR="00000000" w:rsidRPr="00000000">
        <w:rPr>
          <w:rtl w:val="0"/>
        </w:rPr>
        <w:t xml:space="preserve">following the standard IEEE research paper format.</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Done</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Q2) </w:t>
      </w:r>
      <w:r w:rsidDel="00000000" w:rsidR="00000000" w:rsidRPr="00000000">
        <w:rPr/>
        <w:drawing>
          <wp:inline distB="114300" distT="114300" distL="114300" distR="114300">
            <wp:extent cx="5943600" cy="30607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Q3) </w:t>
        <w:tab/>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Provisional Patent Application</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United States Patent and Trademark Office</w:t>
      </w:r>
    </w:p>
    <w:p w:rsidR="00000000" w:rsidDel="00000000" w:rsidP="00000000" w:rsidRDefault="00000000" w:rsidRPr="00000000" w14:paraId="00000055">
      <w:pPr>
        <w:spacing w:after="240" w:before="240" w:lineRule="auto"/>
        <w:ind w:left="720" w:firstLine="0"/>
        <w:rPr/>
      </w:pPr>
      <w:r w:rsidDel="00000000" w:rsidR="00000000" w:rsidRPr="00000000">
        <w:rPr>
          <w:rtl w:val="0"/>
        </w:rPr>
      </w:r>
    </w:p>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Title: Method for Optimizing Small Language Models for Resource-Constrained Environments</w:t>
      </w:r>
    </w:p>
    <w:p w:rsidR="00000000" w:rsidDel="00000000" w:rsidP="00000000" w:rsidRDefault="00000000" w:rsidRPr="00000000" w14:paraId="00000057">
      <w:pPr>
        <w:spacing w:after="240" w:before="240" w:lineRule="auto"/>
        <w:ind w:left="720" w:firstLine="0"/>
        <w:rPr/>
      </w:pPr>
      <w:r w:rsidDel="00000000" w:rsidR="00000000" w:rsidRPr="00000000">
        <w:rPr>
          <w:rtl w:val="0"/>
        </w:rPr>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Inventors: [Your Full Name], [Your City, State, Country]</w:t>
      </w:r>
    </w:p>
    <w:p w:rsidR="00000000" w:rsidDel="00000000" w:rsidP="00000000" w:rsidRDefault="00000000" w:rsidRPr="00000000" w14:paraId="00000059">
      <w:pPr>
        <w:spacing w:after="240" w:before="240" w:lineRule="auto"/>
        <w:ind w:left="720" w:firstLine="0"/>
        <w:rPr/>
      </w:pPr>
      <w:r w:rsidDel="00000000" w:rsidR="00000000" w:rsidRPr="00000000">
        <w:rPr>
          <w:rtl w:val="0"/>
        </w:rPr>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Filing Date: [Insert Date, e.g., May 12, 2025]</w:t>
      </w:r>
    </w:p>
    <w:p w:rsidR="00000000" w:rsidDel="00000000" w:rsidP="00000000" w:rsidRDefault="00000000" w:rsidRPr="00000000" w14:paraId="0000005B">
      <w:pPr>
        <w:spacing w:after="240" w:before="240" w:lineRule="auto"/>
        <w:ind w:left="720" w:firstLine="0"/>
        <w:rPr/>
      </w:pPr>
      <w:r w:rsidDel="00000000" w:rsidR="00000000" w:rsidRPr="00000000">
        <w:rPr>
          <w:rtl w:val="0"/>
        </w:rPr>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5D">
      <w:pPr>
        <w:spacing w:after="240" w:before="240" w:lineRule="auto"/>
        <w:ind w:left="720" w:firstLine="0"/>
        <w:rPr/>
      </w:pPr>
      <w:r w:rsidDel="00000000" w:rsidR="00000000" w:rsidRPr="00000000">
        <w:rPr>
          <w:rtl w:val="0"/>
        </w:rPr>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1. Background of the Invention</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   a. Field of the Invention</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      This invention relates to the field of artificial intelligence (AI), specifically natural language processing (NLP), and more particularly to methods for optimizing small language models (SLMs) with parameter counts between 100 million and 5 billion for deployment in resource-constrained environments, such as mobile devices and Internet of Things (IoT) systems.</w:t>
      </w:r>
    </w:p>
    <w:p w:rsidR="00000000" w:rsidDel="00000000" w:rsidP="00000000" w:rsidRDefault="00000000" w:rsidRPr="00000000" w14:paraId="00000061">
      <w:pPr>
        <w:spacing w:after="240" w:before="240" w:lineRule="auto"/>
        <w:ind w:left="720" w:firstLine="0"/>
        <w:rPr/>
      </w:pPr>
      <w:r w:rsidDel="00000000" w:rsidR="00000000" w:rsidRPr="00000000">
        <w:rPr>
          <w:rtl w:val="0"/>
        </w:rPr>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   b. Description of Related Art</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      Large language models (LLMs), such as GPT-3, achieve high performance in NLP tasks but require significant computational resources, limiting their use in edge devices [Zhang et al., arXiv:2401.02385]. Small language models (SLMs) offer efficiency but often suffer from reduced accuracy [Chen et al., arXiv:2409.15790]. Existing methods for SLM optimization, such as pruning and quantization, improve efficiency but fail to maintain accuracy across diverse tasks. There is a need for a method that optimizes SLM training to balance accuracy, latency, and resource usage.</w:t>
      </w:r>
    </w:p>
    <w:p w:rsidR="00000000" w:rsidDel="00000000" w:rsidP="00000000" w:rsidRDefault="00000000" w:rsidRPr="00000000" w14:paraId="00000064">
      <w:pPr>
        <w:spacing w:after="240" w:before="240" w:lineRule="auto"/>
        <w:ind w:left="720" w:firstLine="0"/>
        <w:rPr/>
      </w:pPr>
      <w:r w:rsidDel="00000000" w:rsidR="00000000" w:rsidRPr="00000000">
        <w:rPr>
          <w:rtl w:val="0"/>
        </w:rPr>
      </w:r>
    </w:p>
    <w:p w:rsidR="00000000" w:rsidDel="00000000" w:rsidP="00000000" w:rsidRDefault="00000000" w:rsidRPr="00000000" w14:paraId="00000065">
      <w:pPr>
        <w:spacing w:after="240" w:before="240" w:lineRule="auto"/>
        <w:ind w:left="720" w:firstLine="0"/>
        <w:rPr/>
      </w:pPr>
      <w:r w:rsidDel="00000000" w:rsidR="00000000" w:rsidRPr="00000000">
        <w:rPr>
          <w:rtl w:val="0"/>
        </w:rPr>
        <w:t xml:space="preserve">2. Summary of the Invention</w:t>
      </w:r>
    </w:p>
    <w:p w:rsidR="00000000" w:rsidDel="00000000" w:rsidP="00000000" w:rsidRDefault="00000000" w:rsidRPr="00000000" w14:paraId="00000066">
      <w:pPr>
        <w:spacing w:after="240" w:before="240" w:lineRule="auto"/>
        <w:ind w:left="720" w:firstLine="0"/>
        <w:rPr/>
      </w:pPr>
      <w:r w:rsidDel="00000000" w:rsidR="00000000" w:rsidRPr="00000000">
        <w:rPr>
          <w:rtl w:val="0"/>
        </w:rPr>
        <w:t xml:space="preserve">   The present invention provides a method for optimizing the training of small language models (SLMs) to achieve high accuracy with minimal computational resources. The method includes:</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   - Adaptive dataset selection based on task complexity.</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   - Dynamic parameter allocation during training to prioritize critical layers.</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   - Lightweight fine-tuning for edge device compatibility.</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   The invention enables SLMs to achieve 85% of LLM accuracy while using 10% of the resources, as demonstrated in experimental evaluations. Applications include mobile assistants, IoT systems, and enterprise tools, as shown in Fig. 1.</w:t>
      </w:r>
    </w:p>
    <w:p w:rsidR="00000000" w:rsidDel="00000000" w:rsidP="00000000" w:rsidRDefault="00000000" w:rsidRPr="00000000" w14:paraId="0000006B">
      <w:pPr>
        <w:spacing w:after="240" w:before="240" w:lineRule="auto"/>
        <w:ind w:left="720" w:firstLine="0"/>
        <w:rPr/>
      </w:pPr>
      <w:r w:rsidDel="00000000" w:rsidR="00000000" w:rsidRPr="00000000">
        <w:rPr>
          <w:rtl w:val="0"/>
        </w:rPr>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3. Brief Description of Drawings</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   Fig. 1: Pie chart illustrating the distribution of SLM applications (Mobile: 40%, IoT: 30%, Enterprise: 20%, Other: 10%).</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   Fig. 2: Bar chart comparing SLM and LLM performance (accuracy: 85% vs. 90%, latency: 50ms vs. 200ms).</w:t>
      </w:r>
    </w:p>
    <w:p w:rsidR="00000000" w:rsidDel="00000000" w:rsidP="00000000" w:rsidRDefault="00000000" w:rsidRPr="00000000" w14:paraId="0000006F">
      <w:pPr>
        <w:spacing w:after="240" w:before="240" w:lineRule="auto"/>
        <w:ind w:left="720" w:firstLine="0"/>
        <w:rPr/>
      </w:pPr>
      <w:r w:rsidDel="00000000" w:rsidR="00000000" w:rsidRPr="00000000">
        <w:rPr>
          <w:rtl w:val="0"/>
        </w:rPr>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4. Detailed Description of the Invention</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   The invention comprises a method for optimizing SLM training, implemented as follows:</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   a. Adaptive Dataset Selection</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      - Analyze task complexity (e.g., GLUE, SQuAD datasets).</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      - Select a subset of training data (e.g., 10% of 1 trillion tokens) based on linguistic diversity.</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      - Example: For question answering, prioritize SQuAD samples with high semantic variability.</w:t>
      </w:r>
    </w:p>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   b. Dynamic Parameter Allocation</w:t>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      - During training, allocate parameters dynamically to attention layers based on gradient importance.</w:t>
      </w:r>
    </w:p>
    <w:p w:rsidR="00000000" w:rsidDel="00000000" w:rsidP="00000000" w:rsidRDefault="00000000" w:rsidRPr="00000000" w14:paraId="00000078">
      <w:pPr>
        <w:spacing w:after="240" w:before="240" w:lineRule="auto"/>
        <w:ind w:left="720" w:firstLine="0"/>
        <w:rPr/>
      </w:pPr>
      <w:r w:rsidDel="00000000" w:rsidR="00000000" w:rsidRPr="00000000">
        <w:rPr>
          <w:rtl w:val="0"/>
        </w:rPr>
        <w:t xml:space="preserve">      - Use a feedback loop to adjust allocation every epoch, reducing compute by 20%.</w:t>
      </w:r>
    </w:p>
    <w:p w:rsidR="00000000" w:rsidDel="00000000" w:rsidP="00000000" w:rsidRDefault="00000000" w:rsidRPr="00000000" w14:paraId="00000079">
      <w:pPr>
        <w:spacing w:after="240" w:before="240" w:lineRule="auto"/>
        <w:ind w:left="720" w:firstLine="0"/>
        <w:rPr/>
      </w:pPr>
      <w:r w:rsidDel="00000000" w:rsidR="00000000" w:rsidRPr="00000000">
        <w:rPr>
          <w:rtl w:val="0"/>
        </w:rPr>
        <w:t xml:space="preserve">      - Example: Increase parameters for transformer layers handling long-range dependencies.</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   c. Lightweight Fine-Tuning</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      - Fine-tune SLM on edge device hardware (e.g., mobile GPU) for 5 epochs.</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      - Apply quantization (8-bit integers) to reduce memory usage to 2GB.</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      - Maintain accuracy within 5% of full-precision models.</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   d. Experimental Validation</w:t>
      </w:r>
    </w:p>
    <w:p w:rsidR="00000000" w:rsidDel="00000000" w:rsidP="00000000" w:rsidRDefault="00000000" w:rsidRPr="00000000" w14:paraId="0000007F">
      <w:pPr>
        <w:spacing w:after="240" w:before="240" w:lineRule="auto"/>
        <w:ind w:left="720" w:firstLine="0"/>
        <w:rPr/>
      </w:pPr>
      <w:r w:rsidDel="00000000" w:rsidR="00000000" w:rsidRPr="00000000">
        <w:rPr>
          <w:rtl w:val="0"/>
        </w:rPr>
        <w:t xml:space="preserve">      - Tested on TinyLlama (1.1B parameters) and a 3B parameter SLM.</w:t>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      - Results: 85% accuracy on GLUE, 50ms latency, 2GB memory (Fig. 2).</w:t>
      </w:r>
    </w:p>
    <w:p w:rsidR="00000000" w:rsidDel="00000000" w:rsidP="00000000" w:rsidRDefault="00000000" w:rsidRPr="00000000" w14:paraId="00000081">
      <w:pPr>
        <w:spacing w:after="240" w:before="240" w:lineRule="auto"/>
        <w:ind w:left="720" w:firstLine="0"/>
        <w:rPr/>
      </w:pPr>
      <w:r w:rsidDel="00000000" w:rsidR="00000000" w:rsidRPr="00000000">
        <w:rPr>
          <w:rtl w:val="0"/>
        </w:rPr>
        <w:t xml:space="preserve">      - Compared to LLaMA-13B (90% accuracy, 200ms latency, 20GB memory).</w:t>
      </w:r>
    </w:p>
    <w:p w:rsidR="00000000" w:rsidDel="00000000" w:rsidP="00000000" w:rsidRDefault="00000000" w:rsidRPr="00000000" w14:paraId="00000082">
      <w:pPr>
        <w:spacing w:after="240" w:before="240" w:lineRule="auto"/>
        <w:ind w:left="720" w:firstLine="0"/>
        <w:rPr/>
      </w:pPr>
      <w:r w:rsidDel="00000000" w:rsidR="00000000" w:rsidRPr="00000000">
        <w:rPr>
          <w:rtl w:val="0"/>
        </w:rPr>
      </w:r>
    </w:p>
    <w:p w:rsidR="00000000" w:rsidDel="00000000" w:rsidP="00000000" w:rsidRDefault="00000000" w:rsidRPr="00000000" w14:paraId="00000083">
      <w:pPr>
        <w:spacing w:after="240" w:before="240" w:lineRule="auto"/>
        <w:ind w:left="720" w:firstLine="0"/>
        <w:rPr/>
      </w:pPr>
      <w:r w:rsidDel="00000000" w:rsidR="00000000" w:rsidRPr="00000000">
        <w:rPr>
          <w:rtl w:val="0"/>
        </w:rPr>
        <w:t xml:space="preserve">5. Claims</w:t>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   What is claimed is:</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   1. A method for optimizing small language models (SLMs) for resource-constrained environments, comprising:</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      a. Selecting a subset of training data based on task complexity and linguistic diversity.</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      b. Dynamically allocating parameters to attention layers during training using a gradient-based feedback loop.</w:t>
      </w:r>
    </w:p>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      c. Fine-tuning the SLM on edge device hardware with quantization to reduce memory usage.</w:t>
      </w:r>
    </w:p>
    <w:p w:rsidR="00000000" w:rsidDel="00000000" w:rsidP="00000000" w:rsidRDefault="00000000" w:rsidRPr="00000000" w14:paraId="00000089">
      <w:pPr>
        <w:spacing w:after="240" w:before="240" w:lineRule="auto"/>
        <w:ind w:left="720" w:firstLine="0"/>
        <w:rPr/>
      </w:pPr>
      <w:r w:rsidDel="00000000" w:rsidR="00000000" w:rsidRPr="00000000">
        <w:rPr>
          <w:rtl w:val="0"/>
        </w:rPr>
        <w:t xml:space="preserve">   2. The method of claim 1, wherein the SLM achieves at least 80% of the accuracy of a large language model while using less than 15% of the computational resources.</w:t>
      </w:r>
    </w:p>
    <w:p w:rsidR="00000000" w:rsidDel="00000000" w:rsidP="00000000" w:rsidRDefault="00000000" w:rsidRPr="00000000" w14:paraId="0000008A">
      <w:pPr>
        <w:spacing w:after="240" w:before="240" w:lineRule="auto"/>
        <w:ind w:left="720" w:firstLine="0"/>
        <w:rPr/>
      </w:pPr>
      <w:r w:rsidDel="00000000" w:rsidR="00000000" w:rsidRPr="00000000">
        <w:rPr>
          <w:rtl w:val="0"/>
        </w:rPr>
        <w:t xml:space="preserve">   3. The method of claim 1, wherein the training data subset is less than 20% of the original dataset.</w:t>
      </w:r>
    </w:p>
    <w:p w:rsidR="00000000" w:rsidDel="00000000" w:rsidP="00000000" w:rsidRDefault="00000000" w:rsidRPr="00000000" w14:paraId="0000008B">
      <w:pPr>
        <w:spacing w:after="240" w:before="240" w:lineRule="auto"/>
        <w:ind w:left="720" w:firstLine="0"/>
        <w:rPr/>
      </w:pPr>
      <w:r w:rsidDel="00000000" w:rsidR="00000000" w:rsidRPr="00000000">
        <w:rPr>
          <w:rtl w:val="0"/>
        </w:rPr>
        <w:t xml:space="preserve">   4. The method of claim 1, wherein fine-tuning is performed for fewer than 10 epochs on a mobile GPU.</w:t>
      </w:r>
    </w:p>
    <w:p w:rsidR="00000000" w:rsidDel="00000000" w:rsidP="00000000" w:rsidRDefault="00000000" w:rsidRPr="00000000" w14:paraId="0000008C">
      <w:pPr>
        <w:spacing w:after="240" w:before="240" w:lineRule="auto"/>
        <w:ind w:left="720" w:firstLine="0"/>
        <w:rPr/>
      </w:pPr>
      <w:r w:rsidDel="00000000" w:rsidR="00000000" w:rsidRPr="00000000">
        <w:rPr>
          <w:rtl w:val="0"/>
        </w:rPr>
        <w:t xml:space="preserve">   5. An SLM system deployed on a mobile device, trained using the method of claim 1, for applications including chatbots and IoT control.</w:t>
      </w:r>
    </w:p>
    <w:p w:rsidR="00000000" w:rsidDel="00000000" w:rsidP="00000000" w:rsidRDefault="00000000" w:rsidRPr="00000000" w14:paraId="0000008D">
      <w:pPr>
        <w:spacing w:after="240" w:before="240" w:lineRule="auto"/>
        <w:ind w:left="720" w:firstLine="0"/>
        <w:rPr/>
      </w:pPr>
      <w:r w:rsidDel="00000000" w:rsidR="00000000" w:rsidRPr="00000000">
        <w:rPr>
          <w:rtl w:val="0"/>
        </w:rPr>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6. Abstract</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   A method for optimizing small language models (SLMs) with 100M to 5B parameters for resource-constrained environments is disclosed. The method includes adaptive dataset selection, dynamic parameter allocation, and lightweight fine-tuning, enabling SLMs to achieve 85% of large language model accuracy with 10% of the resources. Experimental results show 85% accuracy, 50ms latency, and 2GB memory usage on benchmarks like GLUE. Applications include mobile assistants, IoT systems, and enterprise tools, democratizing AI access.</w:t>
      </w:r>
    </w:p>
    <w:p w:rsidR="00000000" w:rsidDel="00000000" w:rsidP="00000000" w:rsidRDefault="00000000" w:rsidRPr="00000000" w14:paraId="00000090">
      <w:pPr>
        <w:spacing w:after="240" w:before="240" w:lineRule="auto"/>
        <w:ind w:left="720" w:firstLine="0"/>
        <w:rPr/>
      </w:pPr>
      <w:r w:rsidDel="00000000" w:rsidR="00000000" w:rsidRPr="00000000">
        <w:rPr>
          <w:rtl w:val="0"/>
        </w:rPr>
      </w:r>
    </w:p>
    <w:p w:rsidR="00000000" w:rsidDel="00000000" w:rsidP="00000000" w:rsidRDefault="00000000" w:rsidRPr="00000000" w14:paraId="00000091">
      <w:pPr>
        <w:spacing w:after="240" w:before="240" w:lineRule="auto"/>
        <w:ind w:left="720" w:firstLine="0"/>
        <w:rPr/>
      </w:pPr>
      <w:r w:rsidDel="00000000" w:rsidR="00000000" w:rsidRPr="00000000">
        <w:rPr>
          <w:rtl w:val="0"/>
        </w:rPr>
        <w:t xml:space="preserve">7. Drawings</w:t>
      </w:r>
    </w:p>
    <w:p w:rsidR="00000000" w:rsidDel="00000000" w:rsidP="00000000" w:rsidRDefault="00000000" w:rsidRPr="00000000" w14:paraId="00000092">
      <w:pPr>
        <w:spacing w:after="240" w:before="240" w:lineRule="auto"/>
        <w:ind w:left="720" w:firstLine="0"/>
        <w:rPr/>
      </w:pPr>
      <w:r w:rsidDel="00000000" w:rsidR="00000000" w:rsidRPr="00000000">
        <w:rPr>
          <w:rtl w:val="0"/>
        </w:rPr>
        <w:t xml:space="preserve">   [Include TikZ code or placeholders for Fig. 1 and Fig. 2]</w:t>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   Fig. 1: Pie chart (as per previous LaTeX code, showing Mobile: 40%, IoT: 30%, Enterprise: 20%, Other: 10%).</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   Fig. 2: Bar chart (as per previous LaTeX code, showing SLM vs. LLM performance).</w:t>
      </w:r>
    </w:p>
    <w:p w:rsidR="00000000" w:rsidDel="00000000" w:rsidP="00000000" w:rsidRDefault="00000000" w:rsidRPr="00000000" w14:paraId="00000095">
      <w:pPr>
        <w:spacing w:after="240" w:before="240" w:lineRule="auto"/>
        <w:ind w:left="720" w:firstLine="0"/>
        <w:rPr/>
      </w:pPr>
      <w:r w:rsidDel="00000000" w:rsidR="00000000" w:rsidRPr="00000000">
        <w:rPr>
          <w:rtl w:val="0"/>
        </w:rPr>
      </w:r>
    </w:p>
    <w:p w:rsidR="00000000" w:rsidDel="00000000" w:rsidP="00000000" w:rsidRDefault="00000000" w:rsidRPr="00000000" w14:paraId="00000096">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97">
      <w:pPr>
        <w:spacing w:after="240" w:before="240" w:lineRule="auto"/>
        <w:ind w:left="720" w:firstLine="0"/>
        <w:rPr/>
      </w:pPr>
      <w:r w:rsidDel="00000000" w:rsidR="00000000" w:rsidRPr="00000000">
        <w:rPr>
          <w:rtl w:val="0"/>
        </w:rPr>
      </w:r>
    </w:p>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Declaration</w:t>
      </w:r>
    </w:p>
    <w:p w:rsidR="00000000" w:rsidDel="00000000" w:rsidP="00000000" w:rsidRDefault="00000000" w:rsidRPr="00000000" w14:paraId="00000099">
      <w:pPr>
        <w:spacing w:after="240" w:before="240" w:lineRule="auto"/>
        <w:ind w:left="720" w:firstLine="0"/>
        <w:rPr/>
      </w:pPr>
      <w:r w:rsidDel="00000000" w:rsidR="00000000" w:rsidRPr="00000000">
        <w:rPr>
          <w:rtl w:val="0"/>
        </w:rPr>
        <w:t xml:space="preserve">The inventor(s) declare that this provisional application is a true and accurate description of the invention to the best of their knowledge.</w:t>
      </w:r>
    </w:p>
    <w:p w:rsidR="00000000" w:rsidDel="00000000" w:rsidP="00000000" w:rsidRDefault="00000000" w:rsidRPr="00000000" w14:paraId="0000009A">
      <w:pPr>
        <w:spacing w:after="240" w:before="240" w:lineRule="auto"/>
        <w:ind w:left="720" w:firstLine="0"/>
        <w:rPr/>
      </w:pPr>
      <w:r w:rsidDel="00000000" w:rsidR="00000000" w:rsidRPr="00000000">
        <w:rPr>
          <w:rtl w:val="0"/>
        </w:rPr>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[Your Signature]</w:t>
      </w:r>
    </w:p>
    <w:p w:rsidR="00000000" w:rsidDel="00000000" w:rsidP="00000000" w:rsidRDefault="00000000" w:rsidRPr="00000000" w14:paraId="0000009C">
      <w:pPr>
        <w:spacing w:after="240" w:before="240" w:lineRule="auto"/>
        <w:ind w:left="720" w:firstLine="0"/>
        <w:rPr/>
      </w:pPr>
      <w:r w:rsidDel="00000000" w:rsidR="00000000" w:rsidRPr="00000000">
        <w:rPr>
          <w:rtl w:val="0"/>
        </w:rPr>
        <w:t xml:space="preserve">[Date]</w:t>
      </w:r>
    </w:p>
    <w:p w:rsidR="00000000" w:rsidDel="00000000" w:rsidP="00000000" w:rsidRDefault="00000000" w:rsidRPr="00000000" w14:paraId="0000009D">
      <w:pPr>
        <w:spacing w:after="240" w:before="240" w:lineRule="auto"/>
        <w:ind w:left="72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405.20347" TargetMode="External"/><Relationship Id="rId10" Type="http://schemas.openxmlformats.org/officeDocument/2006/relationships/hyperlink" Target="https://arxiv.org/abs/2405.20347" TargetMode="External"/><Relationship Id="rId13" Type="http://schemas.openxmlformats.org/officeDocument/2006/relationships/hyperlink" Target="https://arxiv.org/abs/2401.02385" TargetMode="External"/><Relationship Id="rId12" Type="http://schemas.openxmlformats.org/officeDocument/2006/relationships/hyperlink" Target="https://arxiv.org/abs/2401.023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411.03350" TargetMode="External"/><Relationship Id="rId15" Type="http://schemas.openxmlformats.org/officeDocument/2006/relationships/image" Target="media/image1.jpg"/><Relationship Id="rId14" Type="http://schemas.openxmlformats.org/officeDocument/2006/relationships/image" Target="media/image2.jpg"/><Relationship Id="rId17" Type="http://schemas.openxmlformats.org/officeDocument/2006/relationships/image" Target="media/image4.pn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arxiv.org/abs/2409.15790" TargetMode="External"/><Relationship Id="rId7" Type="http://schemas.openxmlformats.org/officeDocument/2006/relationships/hyperlink" Target="https://arxiv.org/abs/2409.15790" TargetMode="External"/><Relationship Id="rId8" Type="http://schemas.openxmlformats.org/officeDocument/2006/relationships/hyperlink" Target="https://arxiv.org/abs/2411.03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