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Analyzing Customer Reviews for Personalized Skincare Recommendations</w:t>
      </w:r>
    </w:p>
    <w:p>
      <w:pPr>
        <w:jc w:val="center"/>
      </w:pPr>
      <w:r>
        <w:rPr>
          <w:b/>
          <w:sz w:val="30"/>
        </w:rPr>
        <w:t>Week 6: Final Evaluation and Business Impact</w:t>
      </w:r>
    </w:p>
    <w:p>
      <w:pPr>
        <w:jc w:val="center"/>
      </w:pPr>
      <w:r>
        <w:t>Beauty &amp; Wellness Data Science Internship | Prepared 2026-10-18</w:t>
      </w:r>
    </w:p>
    <w:p>
      <w:pPr>
        <w:jc w:val="center"/>
      </w:pPr>
      <w:r>
        <w:t>Evidence is limited to the local dataset, existing project outputs, and verification runs described in this document. No consumer or business impact experiment was conducted.</w:t>
      </w:r>
    </w:p>
    <w:p>
      <w:pPr>
        <w:pStyle w:val="Heading1"/>
      </w:pPr>
      <w:r>
        <w:t>Executive finding</w:t>
      </w:r>
    </w:p>
    <w:p>
      <w:r>
        <w:t>The project delivered reproducible cleaning, descriptive EDA, and a review-level classification benchmark. The Week 5 Logistic Regression outperformed a majority-class baseline on a reviewer-held-out sample, but it predicts the recorded review recommendation flag from post-review wording and a self-reported profile. It does not establish that skin-profile personalization improves product selection, nor that products are suitable, safe, or effective for an individual. The original hypothesis remains inconclusive and is not validated by these experiments.</w:t>
      </w:r>
    </w:p>
    <w:p>
      <w:pPr>
        <w:pStyle w:val="Heading1"/>
      </w:pPr>
      <w:r>
        <w:t>1. Objective and original research questions</w:t>
      </w:r>
    </w:p>
    <w:p>
      <w:r>
        <w:t>The business motivation was that a product-wide average star rating may hide differences in how people with different self-reported skin profiles describe their experience. The initial project asked:</w:t>
      </w:r>
    </w:p>
    <w:p>
      <w:pPr>
        <w:pStyle w:val="ListBullet"/>
      </w:pPr>
      <w:r>
        <w:t>RQ1: Can specific skin types and skin concerns be extracted from unstructured customer-review text?</w:t>
      </w:r>
    </w:p>
    <w:p>
      <w:pPr>
        <w:pStyle w:val="ListBullet"/>
      </w:pPr>
      <w:r>
        <w:t>RQ2: Is there a noticeable difference in how different skin profiles rate the exact same product?</w:t>
      </w:r>
    </w:p>
    <w:p>
      <w:pPr>
        <w:pStyle w:val="ListBullet"/>
      </w:pPr>
      <w:r>
        <w:t>Week 1 hypothesis: grouping review text by skin type would provide a more useful signal than an overall average rating for whether a new customer may benefit from a product.</w:t>
      </w:r>
    </w:p>
    <w:p>
      <w:r>
        <w:t>Assessment: the Week 4 sample shows descriptive rating averages that differ across known skin-profile categories, but its 999 rows are a first-rows sample and 998 belong to one product. No per-product significance test or validation against future customer benefit was performed. Therefore, this is at most a preliminary descriptive hint; the hypothesis is not established. RQ1 is unanswered: no skin-concern extraction system was evaluated against ground truth.</w:t>
      </w:r>
    </w:p>
    <w:p>
      <w:pPr>
        <w:pStyle w:val="Heading1"/>
      </w:pPr>
      <w:r>
        <w:t>2. Methodology and verification</w:t>
      </w:r>
    </w:p>
    <w:p>
      <w:r>
        <w:t>Week 3 cleaning: the saved audit records 1,094,411 raw review rows and 969,885 cleaned rows. The final audit documents blank-review removal, duplicate removal by author/text, rating validation, skin-type canonicalization, conservative text cleaning, and removal of text empty after cleaning. Raw source files were preserved.</w:t>
      </w:r>
    </w:p>
    <w:p>
      <w:r>
        <w:t>Final verification reran the cleaner on a bounded 1,000-source-row sample using separate temporary output paths; it completed with 999 cleaned rows. The full cleaner was not rerun during final verification because its default outputs already exist and are useful local data.</w:t>
      </w:r>
    </w:p>
    <w:p>
      <w:r>
        <w:t>Week 4 EDA was rerun on the existing 999-row, 24-column cleaned sample using separate temporary outputs. All six chart types were generated. The descriptive summary reports a mean rating of 4.098, with rating-analysis n=999; profile-known ratings used n=897. This sample has only two product IDs (998 and 1 reviews), so the results are not treated as representative.</w:t>
      </w:r>
    </w:p>
    <w:p>
      <w:pPr>
        <w:pStyle w:val="Caption"/>
      </w:pPr>
      <w:r>
        <w:t>Table 1. Observed Week 4 sample ratings by reported skin type (profile-known ratings only).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Skin type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Mean rating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Median rating</w:t>
            </w:r>
          </w:p>
        </w:tc>
      </w:tr>
      <w:tr>
        <w:tc>
          <w:tcPr>
            <w:tcW w:type="dxa" w:w="2520"/>
          </w:tcPr>
          <w:p>
            <w:r>
              <w:t>combination</w:t>
            </w:r>
          </w:p>
        </w:tc>
        <w:tc>
          <w:tcPr>
            <w:tcW w:type="dxa" w:w="2520"/>
          </w:tcPr>
          <w:p>
            <w:r>
              <w:t>436</w:t>
            </w:r>
          </w:p>
        </w:tc>
        <w:tc>
          <w:tcPr>
            <w:tcW w:type="dxa" w:w="2520"/>
          </w:tcPr>
          <w:p>
            <w:r>
              <w:t>4.177</w:t>
            </w:r>
          </w:p>
        </w:tc>
        <w:tc>
          <w:tcPr>
            <w:tcW w:type="dxa" w:w="2520"/>
          </w:tcPr>
          <w:p>
            <w:r>
              <w:t>5</w:t>
            </w:r>
          </w:p>
        </w:tc>
      </w:tr>
      <w:tr>
        <w:tc>
          <w:tcPr>
            <w:tcW w:type="dxa" w:w="2520"/>
          </w:tcPr>
          <w:p>
            <w:r>
              <w:t>dry</w:t>
            </w:r>
          </w:p>
        </w:tc>
        <w:tc>
          <w:tcPr>
            <w:tcW w:type="dxa" w:w="2520"/>
          </w:tcPr>
          <w:p>
            <w:r>
              <w:t>198</w:t>
            </w:r>
          </w:p>
        </w:tc>
        <w:tc>
          <w:tcPr>
            <w:tcW w:type="dxa" w:w="2520"/>
          </w:tcPr>
          <w:p>
            <w:r>
              <w:t>3.960</w:t>
            </w:r>
          </w:p>
        </w:tc>
        <w:tc>
          <w:tcPr>
            <w:tcW w:type="dxa" w:w="2520"/>
          </w:tcPr>
          <w:p>
            <w:r>
              <w:t>5</w:t>
            </w:r>
          </w:p>
        </w:tc>
      </w:tr>
      <w:tr>
        <w:tc>
          <w:tcPr>
            <w:tcW w:type="dxa" w:w="2520"/>
          </w:tcPr>
          <w:p>
            <w:r>
              <w:t>normal</w:t>
            </w:r>
          </w:p>
        </w:tc>
        <w:tc>
          <w:tcPr>
            <w:tcW w:type="dxa" w:w="2520"/>
          </w:tcPr>
          <w:p>
            <w:r>
              <w:t>157</w:t>
            </w:r>
          </w:p>
        </w:tc>
        <w:tc>
          <w:tcPr>
            <w:tcW w:type="dxa" w:w="2520"/>
          </w:tcPr>
          <w:p>
            <w:r>
              <w:t>4.140</w:t>
            </w:r>
          </w:p>
        </w:tc>
        <w:tc>
          <w:tcPr>
            <w:tcW w:type="dxa" w:w="2520"/>
          </w:tcPr>
          <w:p>
            <w:r>
              <w:t>5</w:t>
            </w:r>
          </w:p>
        </w:tc>
      </w:tr>
      <w:tr>
        <w:tc>
          <w:tcPr>
            <w:tcW w:type="dxa" w:w="2520"/>
          </w:tcPr>
          <w:p>
            <w:r>
              <w:t>oily</w:t>
            </w:r>
          </w:p>
        </w:tc>
        <w:tc>
          <w:tcPr>
            <w:tcW w:type="dxa" w:w="2520"/>
          </w:tcPr>
          <w:p>
            <w:r>
              <w:t>106</w:t>
            </w:r>
          </w:p>
        </w:tc>
        <w:tc>
          <w:tcPr>
            <w:tcW w:type="dxa" w:w="2520"/>
          </w:tcPr>
          <w:p>
            <w:r>
              <w:t>4.132</w:t>
            </w:r>
          </w:p>
        </w:tc>
        <w:tc>
          <w:tcPr>
            <w:tcW w:type="dxa" w:w="2520"/>
          </w:tcPr>
          <w:p>
            <w:r>
              <w:t>5</w:t>
            </w:r>
          </w:p>
        </w:tc>
      </w:tr>
    </w:tbl>
    <w:p>
      <w:r>
        <w:t>Week 5 streamed the full 969,885-row cleaned file to calculate target counts and selected a reproducible, class-proportional sample of 30,000 labeled reviews. The full file has 811,974 valid labels: 683,626 recommended and 128,348 not recommended; 157,911 rows have missing/invalid target labels. Predictors were cleaned review text (word TF-IDF unigrams/bigrams) and one-hot encoded skin type. Rating, target-derived fields, feedback counts, product IDs/names, and author IDs were excluded as predictors. Author IDs were used only for reviewer grouping.</w:t>
      </w:r>
    </w:p>
    <w:p>
      <w:r>
        <w:t>Validation used a reviewer-grouped 80/20 holdout (24,022 train; 5,978 test; 0 reviewer overlap) and 3-fold GroupKFold on training data. The feature transformation and vectorization are fitted within each model pipeline and training fold.</w:t>
      </w:r>
    </w:p>
    <w:p>
      <w:pPr>
        <w:pStyle w:val="Heading1"/>
      </w:pPr>
      <w:r>
        <w:t>3. Held-out model comparison</w:t>
      </w:r>
    </w:p>
    <w:p>
      <w:r>
        <w:t>Positive class is is_recommended=1. Metrics below are from the saved machine-readable summary; the final rerun reproduced its test metrics and split exactly.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Precision +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Recall +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F1 +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440"/>
            <w:vAlign w:val="center"/>
          </w:tcPr>
          <w:p>
            <w:r>
              <w:t>Most Frequent Baseline</w:t>
            </w:r>
          </w:p>
        </w:tc>
        <w:tc>
          <w:tcPr>
            <w:tcW w:type="dxa" w:w="1440"/>
            <w:vAlign w:val="center"/>
          </w:tcPr>
          <w:p>
            <w:r>
              <w:t>0.839</w:t>
            </w:r>
          </w:p>
        </w:tc>
        <w:tc>
          <w:tcPr>
            <w:tcW w:type="dxa" w:w="1440"/>
            <w:vAlign w:val="center"/>
          </w:tcPr>
          <w:p>
            <w:r>
              <w:t>0.839</w:t>
            </w:r>
          </w:p>
        </w:tc>
        <w:tc>
          <w:tcPr>
            <w:tcW w:type="dxa" w:w="1440"/>
            <w:vAlign w:val="center"/>
          </w:tcPr>
          <w:p>
            <w:r>
              <w:t>1.000</w:t>
            </w:r>
          </w:p>
        </w:tc>
        <w:tc>
          <w:tcPr>
            <w:tcW w:type="dxa" w:w="1440"/>
            <w:vAlign w:val="center"/>
          </w:tcPr>
          <w:p>
            <w:r>
              <w:t>0.912</w:t>
            </w:r>
          </w:p>
        </w:tc>
        <w:tc>
          <w:tcPr>
            <w:tcW w:type="dxa" w:w="1440"/>
            <w:vAlign w:val="center"/>
          </w:tcPr>
          <w:p>
            <w:r>
              <w:t>0.456</w:t>
            </w:r>
          </w:p>
        </w:tc>
        <w:tc>
          <w:tcPr>
            <w:tcW w:type="dxa" w:w="1440"/>
            <w:vAlign w:val="center"/>
          </w:tcPr>
          <w:p>
            <w:r>
              <w:t>0.500</w:t>
            </w:r>
          </w:p>
        </w:tc>
      </w:tr>
      <w:tr>
        <w:tc>
          <w:tcPr>
            <w:tcW w:type="dxa" w:w="1440"/>
            <w:vAlign w:val="center"/>
          </w:tcPr>
          <w:p>
            <w:r>
              <w:t>Logistic Regression</w:t>
            </w:r>
          </w:p>
        </w:tc>
        <w:tc>
          <w:tcPr>
            <w:tcW w:type="dxa" w:w="1440"/>
            <w:vAlign w:val="center"/>
          </w:tcPr>
          <w:p>
            <w:r>
              <w:t>0.908</w:t>
            </w:r>
          </w:p>
        </w:tc>
        <w:tc>
          <w:tcPr>
            <w:tcW w:type="dxa" w:w="1440"/>
            <w:vAlign w:val="center"/>
          </w:tcPr>
          <w:p>
            <w:r>
              <w:t>0.977</w:t>
            </w:r>
          </w:p>
        </w:tc>
        <w:tc>
          <w:tcPr>
            <w:tcW w:type="dxa" w:w="1440"/>
            <w:vAlign w:val="center"/>
          </w:tcPr>
          <w:p>
            <w:r>
              <w:t>0.912</w:t>
            </w:r>
          </w:p>
        </w:tc>
        <w:tc>
          <w:tcPr>
            <w:tcW w:type="dxa" w:w="1440"/>
            <w:vAlign w:val="center"/>
          </w:tcPr>
          <w:p>
            <w:r>
              <w:t>0.943</w:t>
            </w:r>
          </w:p>
        </w:tc>
        <w:tc>
          <w:tcPr>
            <w:tcW w:type="dxa" w:w="1440"/>
            <w:vAlign w:val="center"/>
          </w:tcPr>
          <w:p>
            <w:r>
              <w:t>0.851</w:t>
            </w:r>
          </w:p>
        </w:tc>
        <w:tc>
          <w:tcPr>
            <w:tcW w:type="dxa" w:w="1440"/>
            <w:vAlign w:val="center"/>
          </w:tcPr>
          <w:p>
            <w:r>
              <w:t>0.962</w:t>
            </w:r>
          </w:p>
        </w:tc>
      </w:tr>
      <w:tr>
        <w:tc>
          <w:tcPr>
            <w:tcW w:type="dxa" w:w="1440"/>
            <w:vAlign w:val="center"/>
          </w:tcPr>
          <w:p>
            <w:r>
              <w:t>Decision Tree</w:t>
            </w:r>
          </w:p>
        </w:tc>
        <w:tc>
          <w:tcPr>
            <w:tcW w:type="dxa" w:w="1440"/>
            <w:vAlign w:val="center"/>
          </w:tcPr>
          <w:p>
            <w:r>
              <w:t>0.737</w:t>
            </w:r>
          </w:p>
        </w:tc>
        <w:tc>
          <w:tcPr>
            <w:tcW w:type="dxa" w:w="1440"/>
            <w:vAlign w:val="center"/>
          </w:tcPr>
          <w:p>
            <w:r>
              <w:t>0.931</w:t>
            </w:r>
          </w:p>
        </w:tc>
        <w:tc>
          <w:tcPr>
            <w:tcW w:type="dxa" w:w="1440"/>
            <w:vAlign w:val="center"/>
          </w:tcPr>
          <w:p>
            <w:r>
              <w:t>0.742</w:t>
            </w:r>
          </w:p>
        </w:tc>
        <w:tc>
          <w:tcPr>
            <w:tcW w:type="dxa" w:w="1440"/>
            <w:vAlign w:val="center"/>
          </w:tcPr>
          <w:p>
            <w:r>
              <w:t>0.826</w:t>
            </w:r>
          </w:p>
        </w:tc>
        <w:tc>
          <w:tcPr>
            <w:tcW w:type="dxa" w:w="1440"/>
            <w:vAlign w:val="center"/>
          </w:tcPr>
          <w:p>
            <w:r>
              <w:t>0.647</w:t>
            </w:r>
          </w:p>
        </w:tc>
        <w:tc>
          <w:tcPr>
            <w:tcW w:type="dxa" w:w="1440"/>
            <w:vAlign w:val="center"/>
          </w:tcPr>
          <w:p>
            <w:r>
              <w:t>0.789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520"/>
            <w:shd w:fill="D9EAF7"/>
          </w:tcPr>
          <w:p>
            <w:r>
              <w:t>CV macro F1 mean +/- SD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Train macro F1</w:t>
            </w:r>
          </w:p>
        </w:tc>
        <w:tc>
          <w:tcPr>
            <w:tcW w:type="dxa" w:w="2520"/>
            <w:shd w:fill="D9EAF7"/>
          </w:tcPr>
          <w:p>
            <w:r>
              <w:t>CV ROC-AUC mean +/- SD</w:t>
            </w:r>
          </w:p>
        </w:tc>
      </w:tr>
      <w:tr>
        <w:tc>
          <w:tcPr>
            <w:tcW w:type="dxa" w:w="2520"/>
            <w:vAlign w:val="center"/>
          </w:tcPr>
          <w:p>
            <w:r>
              <w:t>Logistic Regression</w:t>
            </w:r>
          </w:p>
        </w:tc>
        <w:tc>
          <w:tcPr>
            <w:tcW w:type="dxa" w:w="2520"/>
            <w:vAlign w:val="center"/>
          </w:tcPr>
          <w:p>
            <w:r>
              <w:t>0.852 ? 0.009</w:t>
            </w:r>
          </w:p>
        </w:tc>
        <w:tc>
          <w:tcPr>
            <w:tcW w:type="dxa" w:w="2520"/>
            <w:vAlign w:val="center"/>
          </w:tcPr>
          <w:p>
            <w:r>
              <w:t>0.908</w:t>
            </w:r>
          </w:p>
        </w:tc>
        <w:tc>
          <w:tcPr>
            <w:tcW w:type="dxa" w:w="2520"/>
            <w:vAlign w:val="center"/>
          </w:tcPr>
          <w:p>
            <w:r>
              <w:t>0.961 ? 0.006</w:t>
            </w:r>
          </w:p>
        </w:tc>
      </w:tr>
      <w:tr>
        <w:tc>
          <w:tcPr>
            <w:tcW w:type="dxa" w:w="2520"/>
            <w:vAlign w:val="center"/>
          </w:tcPr>
          <w:p>
            <w:r>
              <w:t>Decision Tree</w:t>
            </w:r>
          </w:p>
        </w:tc>
        <w:tc>
          <w:tcPr>
            <w:tcW w:type="dxa" w:w="2520"/>
            <w:vAlign w:val="center"/>
          </w:tcPr>
          <w:p>
            <w:r>
              <w:t>0.639 ? 0.009</w:t>
            </w:r>
          </w:p>
        </w:tc>
        <w:tc>
          <w:tcPr>
            <w:tcW w:type="dxa" w:w="2520"/>
            <w:vAlign w:val="center"/>
          </w:tcPr>
          <w:p>
            <w:r>
              <w:t>0.710</w:t>
            </w:r>
          </w:p>
        </w:tc>
        <w:tc>
          <w:tcPr>
            <w:tcW w:type="dxa" w:w="2520"/>
            <w:vAlign w:val="center"/>
          </w:tcPr>
          <w:p>
            <w:r>
              <w:t>0.794 ? 0.005</w:t>
            </w:r>
          </w:p>
        </w:tc>
      </w:tr>
    </w:tbl>
    <w:p>
      <w:r>
        <w:t>The majority baseline already reaches high accuracy because the sample is imbalanced (the positive label is common), but its macro-F1 is low and it never identifies the negative class. Logistic Regression has the strongest held-out and grouped-CV macro-F1 and ROC-AUC. The Decision Tree is weaker on both macro-F1 and ROC-AUC. Training macro-F1 exceeds cross-validation macro-F1 for both models, indicating a generalization gap; it is larger for the tree, but neither score establishes suitability.</w:t>
      </w:r>
    </w:p>
    <w:p>
      <w:pPr>
        <w:pStyle w:val="Heading1"/>
      </w:pPr>
      <w:r>
        <w:t>4. Error patterns and visualizations</w:t>
      </w:r>
    </w:p>
    <w:p>
      <w:r>
        <w:t>Confusion counts below use actual held-out predictions, with rows as true labels (0, 1) and columns as predicted labels (0, 1).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True 0 / predicted 0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True 0 / predicted 1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True 1 / predicted 0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True 1 / predicted 1</w:t>
            </w:r>
          </w:p>
        </w:tc>
      </w:tr>
      <w:tr>
        <w:tc>
          <w:tcPr>
            <w:tcW w:type="dxa" w:w="2016"/>
            <w:vAlign w:val="center"/>
          </w:tcPr>
          <w:p>
            <w:r>
              <w:t>Most Frequent Baseline</w:t>
            </w:r>
          </w:p>
        </w:tc>
        <w:tc>
          <w:tcPr>
            <w:tcW w:type="dxa" w:w="2016"/>
            <w:vAlign w:val="center"/>
          </w:tcPr>
          <w:p>
            <w:r>
              <w:t>0</w:t>
            </w:r>
          </w:p>
        </w:tc>
        <w:tc>
          <w:tcPr>
            <w:tcW w:type="dxa" w:w="2016"/>
            <w:vAlign w:val="center"/>
          </w:tcPr>
          <w:p>
            <w:r>
              <w:t>963</w:t>
            </w:r>
          </w:p>
        </w:tc>
        <w:tc>
          <w:tcPr>
            <w:tcW w:type="dxa" w:w="2016"/>
            <w:vAlign w:val="center"/>
          </w:tcPr>
          <w:p>
            <w:r>
              <w:t>0</w:t>
            </w:r>
          </w:p>
        </w:tc>
        <w:tc>
          <w:tcPr>
            <w:tcW w:type="dxa" w:w="2016"/>
            <w:vAlign w:val="center"/>
          </w:tcPr>
          <w:p>
            <w:r>
              <w:t>5015</w:t>
            </w:r>
          </w:p>
        </w:tc>
      </w:tr>
      <w:tr>
        <w:tc>
          <w:tcPr>
            <w:tcW w:type="dxa" w:w="2016"/>
            <w:vAlign w:val="center"/>
          </w:tcPr>
          <w:p>
            <w:r>
              <w:t>Logistic Regression</w:t>
            </w:r>
          </w:p>
        </w:tc>
        <w:tc>
          <w:tcPr>
            <w:tcW w:type="dxa" w:w="2016"/>
            <w:vAlign w:val="center"/>
          </w:tcPr>
          <w:p>
            <w:r>
              <w:t>856</w:t>
            </w:r>
          </w:p>
        </w:tc>
        <w:tc>
          <w:tcPr>
            <w:tcW w:type="dxa" w:w="2016"/>
            <w:vAlign w:val="center"/>
          </w:tcPr>
          <w:p>
            <w:r>
              <w:t>107</w:t>
            </w:r>
          </w:p>
        </w:tc>
        <w:tc>
          <w:tcPr>
            <w:tcW w:type="dxa" w:w="2016"/>
            <w:vAlign w:val="center"/>
          </w:tcPr>
          <w:p>
            <w:r>
              <w:t>441</w:t>
            </w:r>
          </w:p>
        </w:tc>
        <w:tc>
          <w:tcPr>
            <w:tcW w:type="dxa" w:w="2016"/>
            <w:vAlign w:val="center"/>
          </w:tcPr>
          <w:p>
            <w:r>
              <w:t>4574</w:t>
            </w:r>
          </w:p>
        </w:tc>
      </w:tr>
      <w:tr>
        <w:tc>
          <w:tcPr>
            <w:tcW w:type="dxa" w:w="2016"/>
            <w:vAlign w:val="center"/>
          </w:tcPr>
          <w:p>
            <w:r>
              <w:t>Decision Tree</w:t>
            </w:r>
          </w:p>
        </w:tc>
        <w:tc>
          <w:tcPr>
            <w:tcW w:type="dxa" w:w="2016"/>
            <w:vAlign w:val="center"/>
          </w:tcPr>
          <w:p>
            <w:r>
              <w:t>689</w:t>
            </w:r>
          </w:p>
        </w:tc>
        <w:tc>
          <w:tcPr>
            <w:tcW w:type="dxa" w:w="2016"/>
            <w:vAlign w:val="center"/>
          </w:tcPr>
          <w:p>
            <w:r>
              <w:t>274</w:t>
            </w:r>
          </w:p>
        </w:tc>
        <w:tc>
          <w:tcPr>
            <w:tcW w:type="dxa" w:w="2016"/>
            <w:vAlign w:val="center"/>
          </w:tcPr>
          <w:p>
            <w:r>
              <w:t>1296</w:t>
            </w:r>
          </w:p>
        </w:tc>
        <w:tc>
          <w:tcPr>
            <w:tcW w:type="dxa" w:w="2016"/>
            <w:vAlign w:val="center"/>
          </w:tcPr>
          <w:p>
            <w:r>
              <w:t>3719</w:t>
            </w:r>
          </w:p>
        </w:tc>
      </w:tr>
    </w:tbl>
    <w:p>
      <w:r>
        <w:t>For Logistic Regression, 107 of 963 not-recommended reviews were predicted as recommended (false positives), while 441 of 5,015 recommended reviews were predicted as not recommended (false negatives). Its class-0 recall was 0.889; class-0 precision was 0.660. Error costs depend on a future use case; no operational threshold was selected.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646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nfusion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4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Held-out confusion matrices from the verified Week 5 evaluation.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386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8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Held-out ROC curves; these evaluate the review-label task, not product suitability.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569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6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Week 4 rating distribution, n=999; this is the first-rows cleaned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27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s_by_skin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Week 4 ratings by self-reported skin type. The sample is heavily concentrated in one product and is descriptive only.</w:t>
      </w:r>
    </w:p>
    <w:p>
      <w:pPr>
        <w:pStyle w:val="Heading1"/>
      </w:pPr>
      <w:r>
        <w:t>5. Business implications (potential, not measured)</w:t>
      </w:r>
    </w:p>
    <w:p>
      <w:pPr>
        <w:pStyle w:val="ListBullet"/>
      </w:pPr>
      <w:r>
        <w:t>A retailer could organize existing review summaries by self-reported profile when there are enough reviews for each product/profile group. Show the review count and a visible uncertainty cue; suppress or clearly label low-count groups using a pre-defined policy.</w:t>
      </w:r>
    </w:p>
    <w:p>
      <w:pPr>
        <w:pStyle w:val="ListBullet"/>
      </w:pPr>
      <w:r>
        <w:t>Product comparison and discovery could present profile-specific review themes alongside, not instead of, overall rating, with links to the underlying reviews and clear notes that profiles are self-reported.</w:t>
      </w:r>
    </w:p>
    <w:p>
      <w:pPr>
        <w:pStyle w:val="ListBullet"/>
      </w:pPr>
      <w:r>
        <w:t>Improve data collection by asking optional, purpose-limited profile questions, allowing unknown/prefer-not-to-say, recording timing and product context, and collecting structured post-purchase satisfaction and irritation/return feedback with consent and retention controls.</w:t>
      </w:r>
    </w:p>
    <w:p>
      <w:pPr>
        <w:pStyle w:val="ListBullet"/>
      </w:pPr>
      <w:r>
        <w:t>Before deployment, test a non-medical review-summary or discovery feature with real users through a controlled pilot. Predefine usefulness, comprehension, safety, subgroup, privacy, and guardrail measures; measure conversion, trust, returns, or sales only if the experiment actually captures them.</w:t>
      </w:r>
    </w:p>
    <w:p>
      <w:pPr>
        <w:pStyle w:val="ListBullet"/>
      </w:pPr>
      <w:r>
        <w:t>Use human-reviewed language and avoid asserting that a product is suitable for a skin condition or that review sentiment demonstrates efficacy.</w:t>
      </w:r>
    </w:p>
    <w:p>
      <w:r>
        <w:t>No sales lift, conversion gain, increased trust, or reduced returns were measured in this project.</w:t>
      </w:r>
    </w:p>
    <w:p>
      <w:pPr>
        <w:pStyle w:val="Heading1"/>
      </w:pPr>
      <w:r>
        <w:t>6. Limitations, privacy, and fairness</w:t>
      </w:r>
    </w:p>
    <w:p>
      <w:pPr>
        <w:pStyle w:val="ListBullet"/>
      </w:pPr>
      <w:r>
        <w:t>The target is a historical review-level recommendation flag, not an outcome for a future shopper. Review text is written after product use and can state sentiment, so this model is not a pre-purchase recommendation system.</w:t>
      </w:r>
    </w:p>
    <w:p>
      <w:pPr>
        <w:pStyle w:val="ListBullet"/>
      </w:pPr>
      <w:r>
        <w:t>157,911 cleaned rows have no valid target, and the valid labels are imbalanced. The 30,000-row sample and fixed split do not replace external or temporal validation.</w:t>
      </w:r>
    </w:p>
    <w:p>
      <w:pPr>
        <w:pStyle w:val="ListBullet"/>
      </w:pPr>
      <w:r>
        <w:t>Skin type is self-reported; "unknown" is retained rather than imputed. Profile coverage and correctness are not independently verified. No subgroup fairness, calibration, or profile-specific error audit was completed.</w:t>
      </w:r>
    </w:p>
    <w:p>
      <w:pPr>
        <w:pStyle w:val="ListBullet"/>
      </w:pPr>
      <w:r>
        <w:t>Reviewer grouping prevents the same author appearing on both sides of the holdout, but product overlap is permitted. Results may exploit product-specific language and need product-grouped evaluation for new-product claims.</w:t>
      </w:r>
    </w:p>
    <w:p>
      <w:pPr>
        <w:pStyle w:val="ListBullet"/>
      </w:pPr>
      <w:r>
        <w:t>The EDA is a non-random prefix sample dominated by one product. RQ2 requires full-corpus, per-product comparisons with adequate cell sizes and suitable statistical inference; that analysis was not completed.</w:t>
      </w:r>
    </w:p>
    <w:p>
      <w:pPr>
        <w:pStyle w:val="ListBullet"/>
      </w:pPr>
      <w:r>
        <w:t>No skin-concern extractor, clinically reviewed labels, dermatologist validation, safety/efficacy outcome, recommendation-feature A/B test, or customer business-impact experiment was performed.</w:t>
      </w:r>
    </w:p>
    <w:p>
      <w:pPr>
        <w:pStyle w:val="ListBullet"/>
      </w:pPr>
      <w:r>
        <w:t>Raw and processed customer data are local and Git-ignored; keep them out of public commits. Limit access, avoid exposing reviewer identifiers, and verify dataset terms before redistribution or commercial use.</w:t>
      </w:r>
    </w:p>
    <w:p>
      <w:r>
        <w:t>This project is educational analysis only. It is not medical advice and does not provide a medically validated skincare recommendation system.</w:t>
      </w:r>
    </w:p>
    <w:p>
      <w:pPr>
        <w:pStyle w:val="Heading1"/>
      </w:pPr>
      <w:r>
        <w:t>7. Conclusion and future scope</w:t>
      </w:r>
    </w:p>
    <w:p>
      <w:r>
        <w:t>The verified Logistic Regression benchmark substantially exceeds the majority baseline for predicting the dataset's review-level label on a reviewer-held-out sample. That finding supports using text analytics as a possible aid to organizing or summarizing existing reviews, subject to human review and uncertainty communication. It does not validate personalized product recommendations. The original hypothesis remains inconclusive because the Week 4 profile comparison is a highly product-concentrated prefix sample and Week 5 did not test whether skin profile adds value beyond text or establish product-level benefit.</w:t>
      </w:r>
    </w:p>
    <w:p>
      <w:pPr>
        <w:pStyle w:val="ListBullet"/>
      </w:pPr>
      <w:r>
        <w:t>Run full-corpus EDA into new output paths, preserve the sample report, and publish complete denominators and missingness.</w:t>
      </w:r>
    </w:p>
    <w:p>
      <w:pPr>
        <w:pStyle w:val="ListBullet"/>
      </w:pPr>
      <w:r>
        <w:t>Test RQ2 by comparing profile ratings within the same products after predefining minimum counts; use appropriate non-parametric or ordinal methods, uncertainty intervals, and multiple-comparison controls.</w:t>
      </w:r>
    </w:p>
    <w:p>
      <w:pPr>
        <w:pStyle w:val="ListBullet"/>
      </w:pPr>
      <w:r>
        <w:t>Annotate a consented, representative set of skin-concern mentions and evaluate an extraction method against those labels; do not infer concerns from unvalidated keywords.</w:t>
      </w:r>
    </w:p>
    <w:p>
      <w:pPr>
        <w:pStyle w:val="ListBullet"/>
      </w:pPr>
      <w:r>
        <w:t>Compare text-only, profile-only, and combined predictors; evaluate by held-out products/time and profile subgroup; calibrate probabilities and assess decision thresholds.</w:t>
      </w:r>
    </w:p>
    <w:p>
      <w:pPr>
        <w:pStyle w:val="ListBullet"/>
      </w:pPr>
      <w:r>
        <w:t>Verify the Kaggle license/download date, document dataset provenance, inspect both final DOCX files in Word, and keep raw/restricted data out of Git.</w:t>
      </w:r>
    </w:p>
    <w:p>
      <w:pPr>
        <w:pStyle w:val="Heading1"/>
      </w:pPr>
      <w:r>
        <w:t>References</w:t>
      </w:r>
    </w:p>
    <w:p>
      <w:pPr>
        <w:pStyle w:val="ListBullet"/>
      </w:pPr>
      <w:r>
        <w:t>Sephora Products and Skincare Reviews dataset, Kaggle: https://www.kaggle.com/datasets/nadyinky/sephora-products-and-skincare-reviews (license and download date not verified).</w:t>
      </w:r>
    </w:p>
    <w:p>
      <w:pPr>
        <w:pStyle w:val="ListBullet"/>
      </w:pPr>
      <w:r>
        <w:t>scikit-learn documentation: https://scikit-learn.org/stable/; Pipeline and ColumnTransformer: https://scikit-learn.org/stable/modules/compose.html.</w:t>
      </w:r>
    </w:p>
    <w:p>
      <w:pPr>
        <w:pStyle w:val="ListBullet"/>
      </w:pPr>
      <w:r>
        <w:t>scikit-learn model evaluation: https://scikit-learn.org/stable/modules/model_evaluation.html.</w:t>
      </w:r>
    </w:p>
    <w:p>
      <w:pPr>
        <w:pStyle w:val="ListBullet"/>
      </w:pPr>
      <w:r>
        <w:t>pandas documentation: https://pandas.pydata.org/docs/.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