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5: Predictive Modeling and Algorithm Selection</w:t>
      </w:r>
    </w:p>
    <w:p>
      <w:pPr>
        <w:jc w:val="center"/>
      </w:pPr>
      <w:r>
        <w:rPr>
          <w:b/>
        </w:rPr>
        <w:t>Analyzing Customer Reviews for Personalized Skincare Recommendations</w:t>
      </w:r>
    </w:p>
    <w:p>
      <w:pPr>
        <w:jc w:val="center"/>
      </w:pPr>
      <w:r>
        <w:t>Beauty &amp; Wellness Data Science Internship</w:t>
      </w:r>
    </w:p>
    <w:p>
      <w:pPr>
        <w:pStyle w:val="Heading1"/>
      </w:pPr>
      <w:r>
        <w:t>1. Modeling objective and research-question connection</w:t>
      </w:r>
    </w:p>
    <w:p>
      <w:r>
        <w:t>Predict the dataset's observed is_recommended flag (0/1) from the review's cleaned text and the reviewer's self-reported skin_type. This is a secondary predictive task related to whether review content and profile information are associated with a recorded recommendation label. It does not extract or validate skin concerns and does not predict whether a product is suitable for an individual.</w:t>
      </w:r>
    </w:p>
    <w:p>
      <w:r>
        <w:t>The task does not directly answer RQ2 (whether different skin profiles rate the same product differently). It is an exploratory supervised proxy using the dataset's recommendation outcome.</w:t>
      </w:r>
    </w:p>
    <w:p>
      <w:pPr>
        <w:pStyle w:val="Heading1"/>
      </w:pPr>
      <w:r>
        <w:t>2. Dataset and target variable</w:t>
      </w:r>
    </w:p>
    <w:p>
      <w:r>
        <w:t>Input: C:\Users\delld\OneDrive\Desktop\Data-Science-Beauty-Wellness-Internship-main\data\processed\reviews_clean.csv. The full cleaned file contains 969,885 rows. The binary target is available for 811,974 rows: 128,348 not recommended and 683,626 recommended. 157,911 rows have missing or invalid target values and were excluded from training/evaluation.</w:t>
      </w:r>
    </w:p>
    <w:p>
      <w:r>
        <w:t>The modeling sample contains 30,000 labeled rows ({'0': 4742, '1': 25258}). Sampling: Uniform priority-reservoir sample within each target class, allocated proportionally to full-file class counts.</w:t>
      </w:r>
    </w:p>
    <w:p>
      <w:r>
        <w:t>Input missingness among modeling columns: {'author_id': 0, 'rating': 0, 'is_recommended': 157911, 'skin_type': 0, 'review_text_clean': 0}.</w:t>
      </w:r>
    </w:p>
    <w:p>
      <w:pPr>
        <w:pStyle w:val="Heading1"/>
      </w:pPr>
      <w:r>
        <w:t>3. Feature selection and preprocessing</w:t>
      </w:r>
    </w:p>
    <w:p>
      <w:r>
        <w:t>Predictors: review_text_clean transformed with word-level TF-IDF (unigrams and bigrams; max_features=12,000; min_df=2) and skin_type transformed with one-hot encoding. Empty/missing profile values are represented as unknown. The preprocessing steps are inside each scikit-learn Pipeline and are fitted only on each training fold.</w:t>
      </w:r>
    </w:p>
    <w:p>
      <w:r>
        <w:t>Leakage controls: rating was excluded because it is strongly associated with is_recommended in the source (rating is part of the outcome generation process). is_recommended itself, rating_band, helpfulness, feedback counts, product IDs/names, author IDs, and other post-outcome or identifier-like columns were not predictors. author_id was used only to keep reviewers in a single split/fold.</w:t>
      </w:r>
    </w:p>
    <w:p>
      <w:pPr>
        <w:pStyle w:val="Heading1"/>
      </w:pPr>
      <w:r>
        <w:t>4. Models and rationale</w:t>
      </w:r>
    </w:p>
    <w:p>
      <w:r>
        <w:t>Baseline: DummyClassifier(strategy='most_frequent'), which predicts the training-set majority class. Logistic Regression with balanced class weights provides a regularized linear model over sparse TF-IDF/profile features. A depth-limited Decision Tree with a minimum leaf size tests a nonlinear tree-based alternative while controlling complexity.</w:t>
      </w:r>
    </w:p>
    <w:p>
      <w:pPr>
        <w:pStyle w:val="Heading1"/>
      </w:pPr>
      <w:r>
        <w:t>5. Baseline and validation strategy</w:t>
      </w:r>
    </w:p>
    <w:p>
      <w:r>
        <w:t>A reviewer-grouped holdout used GroupShuffleSplit with 24,022 training and 5,978 test observations. No author appears in both partitions. The test set contains 5,497 reviewers; the training set contains 21,987. Three-fold GroupKFold cross-validation was performed on training data, grouped by reviewer. Sampling and splitting used random_state=42.</w:t>
      </w:r>
    </w:p>
    <w:p>
      <w:r>
        <w:t>Reported metrics: accuracy, positive-class precision/recall/F1, macro F1, and ROC-AUC. Positive class means is_recommended=1. The majority baseline's ROC-AUC is 0.500 because it assigns the same score to all observations.</w:t>
      </w:r>
    </w:p>
    <w:p>
      <w:pPr>
        <w:pStyle w:val="Heading1"/>
      </w:pPr>
      <w:r>
        <w:t>6. Actual held-out evaluation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Recall</w:t>
            </w:r>
          </w:p>
        </w:tc>
        <w:tc>
          <w:tcPr>
            <w:tcW w:type="dxa" w:w="1234"/>
          </w:tcPr>
          <w:p>
            <w:r>
              <w:t>F1 positive</w:t>
            </w:r>
          </w:p>
        </w:tc>
        <w:tc>
          <w:tcPr>
            <w:tcW w:type="dxa" w:w="1234"/>
          </w:tcPr>
          <w:p>
            <w:r>
              <w:t>Macro F1</w:t>
            </w:r>
          </w:p>
        </w:tc>
        <w:tc>
          <w:tcPr>
            <w:tcW w:type="dxa" w:w="1234"/>
          </w:tcPr>
          <w:p>
            <w:r>
              <w:t>ROC-AUC</w:t>
            </w:r>
          </w:p>
        </w:tc>
      </w:tr>
      <w:tr>
        <w:tc>
          <w:tcPr>
            <w:tcW w:type="dxa" w:w="1234"/>
          </w:tcPr>
          <w:p>
            <w:r>
              <w:t>Most Frequent Baseline</w:t>
            </w:r>
          </w:p>
        </w:tc>
        <w:tc>
          <w:tcPr>
            <w:tcW w:type="dxa" w:w="1234"/>
          </w:tcPr>
          <w:p>
            <w:r>
              <w:t>0.839</w:t>
            </w:r>
          </w:p>
        </w:tc>
        <w:tc>
          <w:tcPr>
            <w:tcW w:type="dxa" w:w="1234"/>
          </w:tcPr>
          <w:p>
            <w:r>
              <w:t>0.839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0.456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</w:tr>
      <w:tr>
        <w:tc>
          <w:tcPr>
            <w:tcW w:type="dxa" w:w="1234"/>
          </w:tcPr>
          <w:p>
            <w:r>
              <w:t>Logistic Regression</w:t>
            </w:r>
          </w:p>
        </w:tc>
        <w:tc>
          <w:tcPr>
            <w:tcW w:type="dxa" w:w="1234"/>
          </w:tcPr>
          <w:p>
            <w:r>
              <w:t>0.908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0.943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0.962</w:t>
            </w:r>
          </w:p>
        </w:tc>
      </w:tr>
      <w:tr>
        <w:tc>
          <w:tcPr>
            <w:tcW w:type="dxa" w:w="1234"/>
          </w:tcPr>
          <w:p>
            <w:r>
              <w:t>Decision Tree</w:t>
            </w:r>
          </w:p>
        </w:tc>
        <w:tc>
          <w:tcPr>
            <w:tcW w:type="dxa" w:w="1234"/>
          </w:tcPr>
          <w:p>
            <w:r>
              <w:t>0.737</w:t>
            </w:r>
          </w:p>
        </w:tc>
        <w:tc>
          <w:tcPr>
            <w:tcW w:type="dxa" w:w="1234"/>
          </w:tcPr>
          <w:p>
            <w:r>
              <w:t>0.931</w:t>
            </w:r>
          </w:p>
        </w:tc>
        <w:tc>
          <w:tcPr>
            <w:tcW w:type="dxa" w:w="1234"/>
          </w:tcPr>
          <w:p>
            <w:r>
              <w:t>0.742</w:t>
            </w:r>
          </w:p>
        </w:tc>
        <w:tc>
          <w:tcPr>
            <w:tcW w:type="dxa" w:w="1234"/>
          </w:tcPr>
          <w:p>
            <w:r>
              <w:t>0.826</w:t>
            </w:r>
          </w:p>
        </w:tc>
        <w:tc>
          <w:tcPr>
            <w:tcW w:type="dxa" w:w="1234"/>
          </w:tcPr>
          <w:p>
            <w:r>
              <w:t>0.647</w:t>
            </w:r>
          </w:p>
        </w:tc>
        <w:tc>
          <w:tcPr>
            <w:tcW w:type="dxa" w:w="1234"/>
          </w:tcPr>
          <w:p>
            <w:r>
              <w:t>0.789</w:t>
            </w:r>
          </w:p>
        </w:tc>
      </w:tr>
    </w:tbl>
    <w:p>
      <w:r>
        <w:t>On this held-out sample, Logistic Regression had the highest macro F1 (0.851). The majority baseline accuracy was 0.839; because class 1 is common, accuracy alone is not sufficient.</w:t>
      </w:r>
    </w:p>
    <w:p>
      <w:pPr>
        <w:pStyle w:val="Heading1"/>
      </w:pPr>
      <w:r>
        <w:t>7. Cross-validation and fit diagnostics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CV macro F1 mean ± SD</w:t>
            </w:r>
          </w:p>
        </w:tc>
        <w:tc>
          <w:tcPr>
            <w:tcW w:type="dxa" w:w="2160"/>
          </w:tcPr>
          <w:p>
            <w:r>
              <w:t>Train macro F1</w:t>
            </w:r>
          </w:p>
        </w:tc>
        <w:tc>
          <w:tcPr>
            <w:tcW w:type="dxa" w:w="2160"/>
          </w:tcPr>
          <w:p>
            <w:r>
              <w:t>CV ROC-AUC mean ± SD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0.852 ± 0.009</w:t>
            </w:r>
          </w:p>
        </w:tc>
        <w:tc>
          <w:tcPr>
            <w:tcW w:type="dxa" w:w="2160"/>
          </w:tcPr>
          <w:p>
            <w:r>
              <w:t>0.908</w:t>
            </w:r>
          </w:p>
        </w:tc>
        <w:tc>
          <w:tcPr>
            <w:tcW w:type="dxa" w:w="2160"/>
          </w:tcPr>
          <w:p>
            <w:r>
              <w:t>0.961 ± 0.006</w:t>
            </w:r>
          </w:p>
        </w:tc>
      </w:tr>
      <w:tr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0.639 ± 0.009</w:t>
            </w:r>
          </w:p>
        </w:tc>
        <w:tc>
          <w:tcPr>
            <w:tcW w:type="dxa" w:w="2160"/>
          </w:tcPr>
          <w:p>
            <w:r>
              <w:t>0.710</w:t>
            </w:r>
          </w:p>
        </w:tc>
        <w:tc>
          <w:tcPr>
            <w:tcW w:type="dxa" w:w="2160"/>
          </w:tcPr>
          <w:p>
            <w:r>
              <w:t>0.794 ± 0.005</w:t>
            </w:r>
          </w:p>
        </w:tc>
      </w:tr>
    </w:tbl>
    <w:p>
      <w:r>
        <w:t>Training-versus-cross-validation macro F1 provides a limited overfitting diagnostic. A large gap suggests overfitting; low training and validation scores suggest underfitting. These diagnostics apply to the sampled data and selected features only.</w:t>
      </w:r>
    </w:p>
    <w:p>
      <w:pPr>
        <w:pStyle w:val="Heading1"/>
      </w:pPr>
      <w:r>
        <w:t>8. Evaluation plots</w:t>
      </w:r>
    </w:p>
    <w:p>
      <w:r>
        <w:drawing>
          <wp:inline xmlns:a="http://schemas.openxmlformats.org/drawingml/2006/main" xmlns:pic="http://schemas.openxmlformats.org/drawingml/2006/picture">
            <wp:extent cx="5577840" cy="1632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nfusion_matr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32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Held-out confusion matrices; rows are actual labels and columns are predicted labels.</w:t>
      </w:r>
    </w:p>
    <w:p>
      <w:r>
        <w:drawing>
          <wp:inline xmlns:a="http://schemas.openxmlformats.org/drawingml/2006/main" xmlns:pic="http://schemas.openxmlformats.org/drawingml/2006/picture">
            <wp:extent cx="5577840" cy="4351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roc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51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Held-out receiver operating characteristic curves, computed from predicted positive-class probabilities.</w:t>
      </w:r>
    </w:p>
    <w:p>
      <w:pPr>
        <w:pStyle w:val="Heading1"/>
      </w:pPr>
      <w:r>
        <w:t>9. Business interpretation</w:t>
      </w:r>
    </w:p>
    <w:p>
      <w:r>
        <w:t>The best macro-F1 model (logistic regression) can be interpreted only as predicting the platform's review-level recommendation flag from review wording and a self-reported profile. Text may encode a reviewer's expressed opinion. This is not evidence that skin type causes satisfaction or that the product is clinically or personally suitable. The baseline comparison and minority-class recall/precision should guide any further evaluation, not a direct consumer recommendation.</w:t>
      </w:r>
    </w:p>
    <w:p>
      <w:pPr>
        <w:pStyle w:val="Heading1"/>
      </w:pPr>
      <w:r>
        <w:t>10. Limitations and Week 6 recommendations</w:t>
      </w:r>
    </w:p>
    <w:p>
      <w:pPr>
        <w:pStyle w:val="ListBullet"/>
      </w:pPr>
      <w:r>
        <w:t>The evaluation uses a 30,000-row class-proportional sample of the full cleaned dataset, not all 811,974 labeled examples.</w:t>
      </w:r>
    </w:p>
    <w:p>
      <w:pPr>
        <w:pStyle w:val="ListBullet"/>
      </w:pPr>
      <w:r>
        <w:t>is_recommended is strongly associated with rating; rating was excluded to prevent target leakage. Review text may still express or reveal sentiment closely related to the label.</w:t>
      </w:r>
    </w:p>
    <w:p>
      <w:pPr>
        <w:pStyle w:val="ListBullet"/>
      </w:pPr>
      <w:r>
        <w:t>Reviewer-grouped splitting prevents the same reviewer from appearing in train and test; product IDs are excluded from predictors, but products may occur in both partitions.</w:t>
      </w:r>
    </w:p>
    <w:p>
      <w:pPr>
        <w:pStyle w:val="ListBullet"/>
      </w:pPr>
      <w:r>
        <w:t>The target is an observed review-level flag, not an expert assessment of efficacy, skin concerns, safety, or suitability.</w:t>
      </w:r>
    </w:p>
    <w:p>
      <w:pPr>
        <w:pStyle w:val="ListBullet"/>
      </w:pPr>
      <w:r>
        <w:t>The class distribution is imbalanced; accuracy can overstate useful performance. Compare macro F1, positive precision/recall, ROC-AUC, and the baseline.</w:t>
      </w:r>
    </w:p>
    <w:p>
      <w:pPr>
        <w:pStyle w:val="ListBullet"/>
      </w:pPr>
      <w:r>
        <w:t>Cross-validation and holdout results depend on the fixed sample/split and may not generalize across time, products, or other platforms.</w:t>
      </w:r>
    </w:p>
    <w:p>
      <w:pPr>
        <w:pStyle w:val="ListBullet"/>
      </w:pPr>
      <w:r>
        <w:t>Week 6 should audit errors by skin-type availability and product, calibrate scores if needed, test temporal/product-group splits, quantify uncertainty, and evaluate fairness and business utility before any recommendation use.</w:t>
      </w:r>
    </w:p>
    <w:p>
      <w:pPr>
        <w:pStyle w:val="Heading1"/>
      </w:pPr>
      <w:r>
        <w:t>Conclusion</w:t>
      </w:r>
    </w:p>
    <w:p>
      <w:r>
        <w:t>Actual results show whether review text plus self-reported skin type predict the dataset's recommendation indicator better than the majority baseline on a reviewer-held-out sample. The highest macro-F1 model was logistic regression at 0.851. This is an exploratory benchmark only, not a validated personalized skincare recommender. Expected outcomes were not substituted for measured metrics.</w:t>
      </w:r>
    </w:p>
    <w:p>
      <w:pPr>
        <w:pStyle w:val="Heading1"/>
      </w:pPr>
      <w:r>
        <w:t>References</w:t>
      </w:r>
    </w:p>
    <w:p>
      <w:pPr>
        <w:pStyle w:val="ListBullet"/>
      </w:pPr>
      <w:r>
        <w:t>Sephora Products and Skincare Reviews dataset, Kaggle: https://www.kaggle.com/datasets/nadyinky/sephora-products-and-skincare-reviews (local processed file inspected; license not verified).</w:t>
      </w:r>
    </w:p>
    <w:p>
      <w:pPr>
        <w:pStyle w:val="ListBullet"/>
      </w:pPr>
      <w:r>
        <w:t>scikit-learn documentation: https://scikit-learn.org/stable/</w:t>
      </w:r>
    </w:p>
    <w:p>
      <w:pPr>
        <w:pStyle w:val="ListBullet"/>
      </w:pPr>
      <w:r>
        <w:t>scikit-learn Pipeline and ColumnTransformer documentation: https://scikit-learn.org/stable/modules/compose.html</w:t>
      </w:r>
    </w:p>
    <w:p>
      <w:pPr>
        <w:pStyle w:val="ListBullet"/>
      </w:pPr>
      <w:r>
        <w:t>scikit-learn model evaluation documentation: https://scikit-learn.org/stable/modules/model_evaluation.html</w:t>
      </w:r>
    </w:p>
    <w:p>
      <w:pPr>
        <w:pStyle w:val="ListBullet"/>
      </w:pPr>
      <w:r>
        <w:t>pandas documentation: https://pandas.pydata.org/docs/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