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A5F"/>
          <w:sz w:val="52"/>
          <w:szCs w:val="52"/>
        </w:rPr>
        <w:t xml:space="preserve">Northwind Analytics</w:t>
      </w:r>
    </w:p>
    <w:p>
      <w:pPr>
        <w:spacing w:after="120"/>
        <w:jc w:val="center"/>
      </w:pPr>
      <w:r>
        <w:rPr>
          <w:color w:val="2E5C8A"/>
          <w:sz w:val="32"/>
          <w:szCs w:val="32"/>
        </w:rPr>
        <w:t xml:space="preserve">Q3 2026 Executive Report</w:t>
      </w:r>
    </w:p>
    <w:p>
      <w:pPr>
        <w:pBdr>
          <w:bottom w:val="single" w:color="1F3A5F" w:sz="8" w:space="8"/>
        </w:pBdr>
        <w:spacing w:after="400"/>
        <w:jc w:val="center"/>
      </w:pPr>
      <w:r>
        <w:rPr>
          <w:color w:val="666666"/>
        </w:rPr>
        <w:t xml:space="preserve">Prepared for the Board of Directors | October 2026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Northwind Analytics delivered its strongest quarter to date in Q3 2026. Total revenue reached $4.74 million, up 12% from Q2 and 31% from the same quarter last year. Annual recurring revenue (ARR) surpassed $17 million, and gross margin improved to 74%. Growth was broad-based across all regions and both product lines, with Asia Pacific emerging as the fastest growing market.</w:t>
      </w:r>
    </w:p>
    <w:p>
      <w:pPr>
        <w:spacing w:after="120"/>
      </w:pPr>
      <w:r>
        <w:t xml:space="preserve">This report covers financial performance, product milestones, customer metrics, strategic initiatives, and priorities for Q4 2026.</w:t>
      </w:r>
    </w:p>
    <w:p>
      <w:pPr>
        <w:pStyle w:val="Heading1"/>
      </w:pPr>
      <w:r>
        <w:t xml:space="preserve">2. Financial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460"/>
      </w:tblGrid>
      <w:tr>
        <w:trPr>
          <w:tblHeader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Q2 2026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Q3 2026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$4.23M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$4.74M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+12%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71%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74%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+3 pts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Operating Expenses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$2.10M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$2.23M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+6%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ARR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$15.6M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$17.1M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Cash Runway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25 months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28 months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+3 months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Revenue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460"/>
      </w:tblGrid>
      <w:tr>
        <w:trPr>
          <w:tblHeader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Q3 Revenue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Share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QoQ Growth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North America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$2.07M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43%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+11%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$1.40M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29%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+8%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Asia Pacific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$1.27M</w:t>
            </w:r>
          </w:p>
        </w:tc>
        <w:tc>
          <w:tcPr>
            <w:tcW w:type="dxa" w:w="2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27%</w:t>
            </w:r>
          </w:p>
        </w:tc>
        <w:tc>
          <w:tcPr>
            <w:tcW w:type="dxa" w:w="246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+18%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Revenue by Product</w:t>
      </w:r>
    </w:p>
    <w:p>
      <w:pPr>
        <w:pStyle w:val="ListParagraph"/>
        <w:numPr>
          <w:ilvl w:val="0"/>
          <w:numId w:val="2"/>
        </w:numPr>
      </w:pPr>
      <w:r>
        <w:t xml:space="preserve">Analytics Pro: $3.50M (74% of revenue), up 13% quarter over quarter.</w:t>
      </w:r>
    </w:p>
    <w:p>
      <w:pPr>
        <w:pStyle w:val="ListParagraph"/>
        <w:numPr>
          <w:ilvl w:val="0"/>
          <w:numId w:val="2"/>
        </w:numPr>
      </w:pPr>
      <w:r>
        <w:t xml:space="preserve">Insight Lite: $1.24M (26% of revenue), up 9% quarter over quarter.</w:t>
      </w:r>
    </w:p>
    <w:p>
      <w:pPr>
        <w:pStyle w:val="Heading1"/>
      </w:pPr>
      <w:r>
        <w:t xml:space="preserve">3. Product Highlights</w:t>
      </w:r>
    </w:p>
    <w:p>
      <w:pPr>
        <w:pStyle w:val="ListParagraph"/>
        <w:numPr>
          <w:ilvl w:val="0"/>
          <w:numId w:val="2"/>
        </w:numPr>
      </w:pPr>
      <w:r>
        <w:t xml:space="preserve">AI Assistant for Analytics Pro launched in July and reached 46% adoption among active accounts within 10 weeks.</w:t>
      </w:r>
    </w:p>
    <w:p>
      <w:pPr>
        <w:pStyle w:val="ListParagraph"/>
        <w:numPr>
          <w:ilvl w:val="0"/>
          <w:numId w:val="2"/>
        </w:numPr>
      </w:pPr>
      <w:r>
        <w:t xml:space="preserve">Insight Lite mobile app released in September, with 12,000 downloads in its first month.</w:t>
      </w:r>
    </w:p>
    <w:p>
      <w:pPr>
        <w:pStyle w:val="ListParagraph"/>
        <w:numPr>
          <w:ilvl w:val="0"/>
          <w:numId w:val="2"/>
        </w:numPr>
      </w:pPr>
      <w:r>
        <w:t xml:space="preserve">Roadmap for Q4: real-time dashboards and Slack and Microsoft Teams integrations.</w:t>
      </w:r>
    </w:p>
    <w:p>
      <w:pPr>
        <w:pStyle w:val="ListParagraph"/>
        <w:numPr>
          <w:ilvl w:val="0"/>
          <w:numId w:val="2"/>
        </w:numPr>
      </w:pPr>
      <w:r>
        <w:t xml:space="preserve">Top customer request, custom report templates, is scheduled for Q1 2027.</w:t>
      </w:r>
    </w:p>
    <w:p>
      <w:pPr>
        <w:pStyle w:val="Heading1"/>
      </w:pPr>
      <w:r>
        <w:t xml:space="preserve">4. Customer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Q2 2026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Q3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Satisfaction (out of 5)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4.2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4.4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Churn Rate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3.6%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3.2%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Net Promoter Score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45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Avg. Support Response Time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3.4 hours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2.1 hours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New Customers Acquired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1,087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1,252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Customer retention improved across all segments. The remaining churn is concentrated among small business customers on Insight Lite who cite pricing as the main concern.</w:t>
      </w:r>
    </w:p>
    <w:p>
      <w:pPr>
        <w:pStyle w:val="Heading1"/>
      </w:pPr>
      <w:r>
        <w:t xml:space="preserve">5. Strategic Initiatives</w:t>
      </w:r>
    </w:p>
    <w:p>
      <w:pPr>
        <w:pStyle w:val="Heading2"/>
      </w:pPr>
      <w:r>
        <w:t xml:space="preserve">Asia Pacific Expansion</w:t>
      </w:r>
    </w:p>
    <w:p>
      <w:pPr>
        <w:spacing w:after="120"/>
      </w:pPr>
      <w:r>
        <w:t xml:space="preserve">A new sales office in Sydney will open by the end of Q4. The team closed three enterprise deals above $250,000 this quarter, including a logistics company in Singapore, and the regional pipeline has grown 40% since July.</w:t>
      </w:r>
    </w:p>
    <w:p>
      <w:pPr>
        <w:pStyle w:val="Heading2"/>
      </w:pPr>
      <w:r>
        <w:t xml:space="preserve">Pricing Review</w:t>
      </w:r>
    </w:p>
    <w:p>
      <w:pPr>
        <w:spacing w:after="120"/>
      </w:pPr>
      <w:r>
        <w:t xml:space="preserve">A review of the Insight Lite small business plan will be completed by November 30, aiming to reduce churn without eroding margin.</w:t>
      </w:r>
    </w:p>
    <w:p>
      <w:pPr>
        <w:pStyle w:val="Heading2"/>
      </w:pPr>
      <w:r>
        <w:t xml:space="preserve">Currency Risk Management</w:t>
      </w:r>
    </w:p>
    <w:p>
      <w:pPr>
        <w:spacing w:after="120"/>
      </w:pPr>
      <w:r>
        <w:t xml:space="preserve">Finance will propose a hedging strategy to protect European revenue, which may be reduced by 2-3% due to currency movements.</w:t>
      </w:r>
    </w:p>
    <w:p>
      <w:pPr>
        <w:pStyle w:val="Heading1"/>
      </w:pPr>
      <w:r>
        <w:t xml:space="preserve">6. Risks</w:t>
      </w:r>
    </w:p>
    <w:p>
      <w:pPr>
        <w:pStyle w:val="ListParagraph"/>
        <w:numPr>
          <w:ilvl w:val="0"/>
          <w:numId w:val="2"/>
        </w:numPr>
      </w:pPr>
      <w:r>
        <w:t xml:space="preserve">Two competitors launched low-cost AI analytics tools in September.</w:t>
      </w:r>
    </w:p>
    <w:p>
      <w:pPr>
        <w:pStyle w:val="ListParagraph"/>
        <w:numPr>
          <w:ilvl w:val="0"/>
          <w:numId w:val="2"/>
        </w:numPr>
      </w:pPr>
      <w:r>
        <w:t xml:space="preserve">Customer concentration: the top 10 customers account for 29% of revenue.</w:t>
      </w:r>
    </w:p>
    <w:p>
      <w:pPr>
        <w:pStyle w:val="ListParagraph"/>
        <w:numPr>
          <w:ilvl w:val="0"/>
          <w:numId w:val="2"/>
        </w:numPr>
      </w:pPr>
      <w:r>
        <w:t xml:space="preserve">Data science hiring takes more than 60 days on average.</w:t>
      </w:r>
    </w:p>
    <w:p>
      <w:pPr>
        <w:pStyle w:val="Heading1"/>
      </w:pPr>
      <w:r>
        <w:t xml:space="preserve">7. Outlook for Q4 2026</w:t>
      </w:r>
    </w:p>
    <w:p>
      <w:pPr>
        <w:spacing w:after="120"/>
      </w:pPr>
      <w:r>
        <w:t xml:space="preserve">Management expects Q4 revenue of $5.2 to $5.4 million, supported by a $6.2 million pipeline with a 38% expected close rate. Priorities are shipping real-time dashboards, opening the Sydney office, and sustaining gross margin above 73%.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Q4 Priority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Open Sydney sales office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Mei Tanaka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Dec 31,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Ship real-time dashboards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Lucas Meyer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Dec 15,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Insight Lite pricing review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Ana Costa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Nov 30, 2026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Currency hedging proposal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Daniel Okafor</w:t>
            </w:r>
          </w:p>
        </w:tc>
        <w:tc>
          <w:tcPr>
            <w:tcW w:type="dxa" w:w="2680"/>
            <w:tcBorders>
              <w:top w:val="single" w:color="C5CEDA" w:sz="4"/>
              <w:left w:val="single" w:color="C5CEDA" w:sz="4"/>
              <w:bottom w:val="single" w:color="C5CEDA" w:sz="4"/>
              <w:right w:val="single" w:color="C5CEDA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Nov 15,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2026-10-23T05:46:39.491Z</dcterms:created>
  <dcterms:modified xsi:type="dcterms:W3CDTF">2026-10-23T05:46:39.500Z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