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45ACA" w14:textId="4372A6DA" w:rsidR="004F47EE" w:rsidRPr="004F47EE" w:rsidRDefault="004F47EE" w:rsidP="004F47EE">
      <w:pPr>
        <w:jc w:val="center"/>
        <w:rPr>
          <w:b/>
          <w:bCs/>
        </w:rPr>
      </w:pPr>
      <w:r w:rsidRPr="004F47EE">
        <w:rPr>
          <w:b/>
          <w:bCs/>
        </w:rPr>
        <w:t>Law Internship Diary</w:t>
      </w:r>
    </w:p>
    <w:p w14:paraId="7DEBCCCC" w14:textId="69B02AD4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Internship at DSK Legal, New Delhi</w:t>
      </w:r>
      <w:r w:rsidRPr="004F47EE">
        <w:br/>
      </w:r>
      <w:r w:rsidRPr="004F47EE">
        <w:rPr>
          <w:i/>
          <w:iCs/>
        </w:rPr>
        <w:t xml:space="preserve">Duration: </w:t>
      </w:r>
      <w:r>
        <w:rPr>
          <w:i/>
          <w:iCs/>
        </w:rPr>
        <w:t>[10thJUNE2024 - 22JUNE2024</w:t>
      </w:r>
      <w:r w:rsidRPr="004F47EE">
        <w:rPr>
          <w:i/>
          <w:iCs/>
        </w:rPr>
        <w:t>]</w:t>
      </w:r>
    </w:p>
    <w:p w14:paraId="5A1CB102" w14:textId="77777777" w:rsidR="004F47EE" w:rsidRPr="004F47EE" w:rsidRDefault="004F47EE" w:rsidP="004F47EE">
      <w:r w:rsidRPr="004F47EE">
        <w:pict w14:anchorId="050CBDE9">
          <v:rect id="_x0000_i1149" style="width:0;height:0" o:hralign="center" o:hrstd="t" o:hr="t" fillcolor="#a0a0a0" stroked="f"/>
        </w:pict>
      </w:r>
    </w:p>
    <w:p w14:paraId="19BF8028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Day 1: Research on “Can a Company Take a Loan from an LLP?”</w:t>
      </w:r>
    </w:p>
    <w:p w14:paraId="62A43D9E" w14:textId="77777777" w:rsidR="004F47EE" w:rsidRPr="004F47EE" w:rsidRDefault="004F47EE" w:rsidP="004F47EE">
      <w:r w:rsidRPr="004F47EE">
        <w:rPr>
          <w:b/>
          <w:bCs/>
        </w:rPr>
        <w:t>Tasks Performed:</w:t>
      </w:r>
    </w:p>
    <w:p w14:paraId="51DCD45A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Conducted detailed research on the legal framework governing loans between companies and Limited Liability Partnerships (LLPs).</w:t>
      </w:r>
    </w:p>
    <w:p w14:paraId="1FCB6780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Referred to provisions under the Companies Act, 2013 and LLP Act, 2008.</w:t>
      </w:r>
    </w:p>
    <w:p w14:paraId="594E5511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Analyzed case laws and precedents regarding inter-entity financial transactions.</w:t>
      </w:r>
    </w:p>
    <w:p w14:paraId="2D225687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Reviewed Reserve Bank of India (RBI) guidelines on external commercial borrowings (ECB) to check if LLPs fall under the purview.</w:t>
      </w:r>
    </w:p>
    <w:p w14:paraId="195E3B5B" w14:textId="77777777" w:rsidR="004F47EE" w:rsidRPr="004F47EE" w:rsidRDefault="004F47EE" w:rsidP="004F47EE">
      <w:r w:rsidRPr="004F47EE">
        <w:rPr>
          <w:b/>
          <w:bCs/>
        </w:rPr>
        <w:t>Key Learnings:</w:t>
      </w:r>
    </w:p>
    <w:p w14:paraId="4F17E262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Loans from LLPs to companies are not explicitly prohibited, but they must comply with the provisions related to financial assistance and the company’s Articles of Association.</w:t>
      </w:r>
    </w:p>
    <w:p w14:paraId="625498A6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Tax implications and accounting requirements should also be considered.</w:t>
      </w:r>
    </w:p>
    <w:p w14:paraId="62710A58" w14:textId="77777777" w:rsidR="004F47EE" w:rsidRPr="004F47EE" w:rsidRDefault="004F47EE" w:rsidP="004F47EE">
      <w:r w:rsidRPr="004F47EE">
        <w:rPr>
          <w:b/>
          <w:bCs/>
        </w:rPr>
        <w:t>Challenges Faced:</w:t>
      </w:r>
    </w:p>
    <w:p w14:paraId="25A6BD58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Interpreting the ambiguities in existing laws regarding loans between these two types of entities.</w:t>
      </w:r>
    </w:p>
    <w:p w14:paraId="08BA979D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Limited precedents or specific judgments on the subject.</w:t>
      </w:r>
    </w:p>
    <w:p w14:paraId="79570FD0" w14:textId="77777777" w:rsidR="004F47EE" w:rsidRPr="004F47EE" w:rsidRDefault="004F47EE" w:rsidP="004F47EE">
      <w:r w:rsidRPr="004F47EE">
        <w:rPr>
          <w:b/>
          <w:bCs/>
        </w:rPr>
        <w:t>Outcome:</w:t>
      </w:r>
      <w:r w:rsidRPr="004F47EE">
        <w:br/>
        <w:t>Prepared a detailed memorandum summarizing the legal position, regulatory requirements, and possible risks associated with such transactions.</w:t>
      </w:r>
    </w:p>
    <w:p w14:paraId="1C069E18" w14:textId="77777777" w:rsidR="004F47EE" w:rsidRPr="004F47EE" w:rsidRDefault="004F47EE" w:rsidP="004F47EE">
      <w:r w:rsidRPr="004F47EE">
        <w:pict w14:anchorId="54DE4911">
          <v:rect id="_x0000_i1150" style="width:0;height:0" o:hralign="center" o:hrstd="t" o:hr="t" fillcolor="#a0a0a0" stroked="f"/>
        </w:pict>
      </w:r>
    </w:p>
    <w:p w14:paraId="44EBB830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Day 2: Research on “Can a Foreign Company Grant ESOPs to its Employees in India?”</w:t>
      </w:r>
    </w:p>
    <w:p w14:paraId="2205EF7E" w14:textId="77777777" w:rsidR="004F47EE" w:rsidRPr="004F47EE" w:rsidRDefault="004F47EE" w:rsidP="004F47EE">
      <w:r w:rsidRPr="004F47EE">
        <w:rPr>
          <w:b/>
          <w:bCs/>
        </w:rPr>
        <w:t>Tasks Performed:</w:t>
      </w:r>
    </w:p>
    <w:p w14:paraId="58C17762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Studied the Foreign Exchange Management Act (FEMA) regulations, particularly in the context of Employee Stock Option Plans (ESOPs).</w:t>
      </w:r>
    </w:p>
    <w:p w14:paraId="110DD6CD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lastRenderedPageBreak/>
        <w:t>Reviewed provisions under the Companies Act, 2013 regarding employee benefits.</w:t>
      </w:r>
    </w:p>
    <w:p w14:paraId="5AF63509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Examined Reserve Bank of India (RBI) Master Circular on Foreign Investment in India.</w:t>
      </w:r>
    </w:p>
    <w:p w14:paraId="325D8DCF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Explored the tax implications of ESOPs granted by foreign companies to Indian employees.</w:t>
      </w:r>
    </w:p>
    <w:p w14:paraId="4A161B7C" w14:textId="77777777" w:rsidR="004F47EE" w:rsidRPr="004F47EE" w:rsidRDefault="004F47EE" w:rsidP="004F47EE">
      <w:r w:rsidRPr="004F47EE">
        <w:rPr>
          <w:b/>
          <w:bCs/>
        </w:rPr>
        <w:t>Key Learnings:</w:t>
      </w:r>
    </w:p>
    <w:p w14:paraId="4D29435B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ESOPs issued by foreign companies are permissible, subject to RBI approval under FEMA.</w:t>
      </w:r>
    </w:p>
    <w:p w14:paraId="4309D5B2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Indian employees need to comply with income tax regulations when exercising or selling ESOPs.</w:t>
      </w:r>
    </w:p>
    <w:p w14:paraId="6B57ED1F" w14:textId="77777777" w:rsidR="004F47EE" w:rsidRPr="004F47EE" w:rsidRDefault="004F47EE" w:rsidP="004F47EE">
      <w:r w:rsidRPr="004F47EE">
        <w:rPr>
          <w:b/>
          <w:bCs/>
        </w:rPr>
        <w:t>Challenges Faced:</w:t>
      </w:r>
    </w:p>
    <w:p w14:paraId="2730A7D6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Understanding the dual compliance required under both Indian and foreign laws.</w:t>
      </w:r>
    </w:p>
    <w:p w14:paraId="10A39409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Differentiating between ESOPs and other employee benefits like sweat equity shares.</w:t>
      </w:r>
    </w:p>
    <w:p w14:paraId="6E72E832" w14:textId="77777777" w:rsidR="004F47EE" w:rsidRPr="004F47EE" w:rsidRDefault="004F47EE" w:rsidP="004F47EE">
      <w:r w:rsidRPr="004F47EE">
        <w:rPr>
          <w:b/>
          <w:bCs/>
        </w:rPr>
        <w:t>Outcome:</w:t>
      </w:r>
      <w:r w:rsidRPr="004F47EE">
        <w:br/>
        <w:t>Prepared an initial draft note highlighting the process and legal considerations for foreign companies issuing ESOPs to Indian employees.</w:t>
      </w:r>
    </w:p>
    <w:p w14:paraId="4942B894" w14:textId="77777777" w:rsidR="004F47EE" w:rsidRPr="004F47EE" w:rsidRDefault="004F47EE" w:rsidP="004F47EE">
      <w:r w:rsidRPr="004F47EE">
        <w:pict w14:anchorId="6EA5FE92">
          <v:rect id="_x0000_i1151" style="width:0;height:0" o:hralign="center" o:hrstd="t" o:hr="t" fillcolor="#a0a0a0" stroked="f"/>
        </w:pict>
      </w:r>
    </w:p>
    <w:p w14:paraId="1FAFEDB2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Day 3: Continuation of Research on “ESOPs by Foreign Companies”</w:t>
      </w:r>
    </w:p>
    <w:p w14:paraId="3B3E76AB" w14:textId="77777777" w:rsidR="004F47EE" w:rsidRPr="004F47EE" w:rsidRDefault="004F47EE" w:rsidP="004F47EE">
      <w:r w:rsidRPr="004F47EE">
        <w:rPr>
          <w:b/>
          <w:bCs/>
        </w:rPr>
        <w:t>Tasks Performed:</w:t>
      </w:r>
    </w:p>
    <w:p w14:paraId="665B5004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Expanded the scope of research to include practical case studies where foreign companies successfully granted ESOPs in India.</w:t>
      </w:r>
    </w:p>
    <w:p w14:paraId="581997BF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Consulted with senior associates to validate the findings and align them with industry practices.</w:t>
      </w:r>
    </w:p>
    <w:p w14:paraId="68DF629C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Worked on structuring the memorandum to include step-by-step compliance requirements for foreign companies.</w:t>
      </w:r>
    </w:p>
    <w:p w14:paraId="5CD6EDE9" w14:textId="77777777" w:rsidR="004F47EE" w:rsidRPr="004F47EE" w:rsidRDefault="004F47EE" w:rsidP="004F47EE">
      <w:r w:rsidRPr="004F47EE">
        <w:rPr>
          <w:b/>
          <w:bCs/>
        </w:rPr>
        <w:t>Key Learnings:</w:t>
      </w:r>
    </w:p>
    <w:p w14:paraId="3C71EB6C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Importance of disclosures in compliance with Securities and Exchange Board of India (SEBI) regulations when listed companies are involved.</w:t>
      </w:r>
    </w:p>
    <w:p w14:paraId="796157A9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lastRenderedPageBreak/>
        <w:t>Tax treaties between India and other countries play a significant role in determining the taxability of ESOPs.</w:t>
      </w:r>
    </w:p>
    <w:p w14:paraId="266CEEE6" w14:textId="77777777" w:rsidR="004F47EE" w:rsidRPr="004F47EE" w:rsidRDefault="004F47EE" w:rsidP="004F47EE">
      <w:r w:rsidRPr="004F47EE">
        <w:rPr>
          <w:b/>
          <w:bCs/>
        </w:rPr>
        <w:t>Challenges Faced:</w:t>
      </w:r>
    </w:p>
    <w:p w14:paraId="3C15B4D0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Identifying real-world examples due to limited public information on such transactions.</w:t>
      </w:r>
    </w:p>
    <w:p w14:paraId="27C65F70" w14:textId="77777777" w:rsidR="004F47EE" w:rsidRPr="004F47EE" w:rsidRDefault="004F47EE" w:rsidP="004F47EE">
      <w:r w:rsidRPr="004F47EE">
        <w:rPr>
          <w:b/>
          <w:bCs/>
        </w:rPr>
        <w:t>Outcome:</w:t>
      </w:r>
      <w:r w:rsidRPr="004F47EE">
        <w:br/>
        <w:t>Finalized and submitted the detailed memorandum, complete with legal provisions, compliance steps, and practical recommendations.</w:t>
      </w:r>
    </w:p>
    <w:p w14:paraId="0048174B" w14:textId="77777777" w:rsidR="004F47EE" w:rsidRPr="004F47EE" w:rsidRDefault="004F47EE" w:rsidP="004F47EE">
      <w:r w:rsidRPr="004F47EE">
        <w:pict w14:anchorId="7124085E">
          <v:rect id="_x0000_i1152" style="width:0;height:0" o:hralign="center" o:hrstd="t" o:hr="t" fillcolor="#a0a0a0" stroked="f"/>
        </w:pict>
      </w:r>
    </w:p>
    <w:p w14:paraId="68B25649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Day 4: Research on “What Happens If One of the Two Partners in an LLP Dies?”</w:t>
      </w:r>
    </w:p>
    <w:p w14:paraId="1CA517A6" w14:textId="77777777" w:rsidR="004F47EE" w:rsidRPr="004F47EE" w:rsidRDefault="004F47EE" w:rsidP="004F47EE">
      <w:r w:rsidRPr="004F47EE">
        <w:rPr>
          <w:b/>
          <w:bCs/>
        </w:rPr>
        <w:t>Tasks Performed:</w:t>
      </w:r>
    </w:p>
    <w:p w14:paraId="0488F71A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Studied the LLP Act, 2008, with a focus on provisions related to dissolution and continuation of LLPs.</w:t>
      </w:r>
    </w:p>
    <w:p w14:paraId="157C51FA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Reviewed partnership agreements to understand the standard clauses that address the death of a partner.</w:t>
      </w:r>
    </w:p>
    <w:p w14:paraId="5D6199C4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Analyzed the rights of legal heirs and the surviving partner in such scenarios.</w:t>
      </w:r>
    </w:p>
    <w:p w14:paraId="0454EC04" w14:textId="77777777" w:rsidR="004F47EE" w:rsidRPr="004F47EE" w:rsidRDefault="004F47EE" w:rsidP="004F47EE">
      <w:r w:rsidRPr="004F47EE">
        <w:rPr>
          <w:b/>
          <w:bCs/>
        </w:rPr>
        <w:t>Key Learnings:</w:t>
      </w:r>
    </w:p>
    <w:p w14:paraId="48EF19F0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If the LLP agreement specifies a provision, the course of action will be governed by it.</w:t>
      </w:r>
    </w:p>
    <w:p w14:paraId="17C2E6C7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In the absence of an agreement, the LLP Act provides that the LLP can continue with a new partner or wind up its operations.</w:t>
      </w:r>
    </w:p>
    <w:p w14:paraId="2B1C2AEC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Legal heirs are entitled to the share of the deceased partner but cannot automatically become partners.</w:t>
      </w:r>
    </w:p>
    <w:p w14:paraId="72A77646" w14:textId="77777777" w:rsidR="004F47EE" w:rsidRPr="004F47EE" w:rsidRDefault="004F47EE" w:rsidP="004F47EE">
      <w:r w:rsidRPr="004F47EE">
        <w:rPr>
          <w:b/>
          <w:bCs/>
        </w:rPr>
        <w:t>Challenges Faced:</w:t>
      </w:r>
    </w:p>
    <w:p w14:paraId="1D7153C4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Determining how the existing business operations and liabilities are managed in the interim period.</w:t>
      </w:r>
    </w:p>
    <w:p w14:paraId="1FA75541" w14:textId="77777777" w:rsidR="004F47EE" w:rsidRPr="004F47EE" w:rsidRDefault="004F47EE" w:rsidP="004F47EE">
      <w:r w:rsidRPr="004F47EE">
        <w:rPr>
          <w:b/>
          <w:bCs/>
        </w:rPr>
        <w:t>Outcome:</w:t>
      </w:r>
      <w:r w:rsidRPr="004F47EE">
        <w:br/>
        <w:t>Created a comprehensive report on the legal and procedural steps following the death of an LLP partner, including recommendations for drafting future-proof partnership agreements.</w:t>
      </w:r>
    </w:p>
    <w:p w14:paraId="6F20DB5E" w14:textId="7D2D0F1F" w:rsidR="004F47EE" w:rsidRPr="004F47EE" w:rsidRDefault="004F47EE" w:rsidP="004F47EE">
      <w:r w:rsidRPr="004F47EE">
        <w:pict w14:anchorId="0E61FC8E">
          <v:rect id="_x0000_i1159" style="width:0;height:0" o:hralign="center" o:hrstd="t" o:hr="t" fillcolor="#a0a0a0" stroked="f"/>
        </w:pict>
      </w:r>
    </w:p>
    <w:p w14:paraId="5A8C941E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lastRenderedPageBreak/>
        <w:t>Day 6: Research on “Applicability of Stamp Duty on Share Transfer in Private Limited Companies”</w:t>
      </w:r>
    </w:p>
    <w:p w14:paraId="5E1B1D2F" w14:textId="77777777" w:rsidR="004F47EE" w:rsidRPr="004F47EE" w:rsidRDefault="004F47EE" w:rsidP="004F47EE">
      <w:r w:rsidRPr="004F47EE">
        <w:rPr>
          <w:b/>
          <w:bCs/>
        </w:rPr>
        <w:t>Tasks Performed:</w:t>
      </w:r>
    </w:p>
    <w:p w14:paraId="513B8F8E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Studied the Indian Stamp Act, 1899, with specific focus on provisions relating to stamp duty on share transfers.</w:t>
      </w:r>
    </w:p>
    <w:p w14:paraId="74FF219C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Examined how stamp duty differs for physical and dematerialized shares.</w:t>
      </w:r>
    </w:p>
    <w:p w14:paraId="7AB95481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Reviewed amendments to the Stamp Act regarding centralized collection and payment of stamp duty on securities transactions.</w:t>
      </w:r>
    </w:p>
    <w:p w14:paraId="32EBDC5D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Analyzed state-specific stamp duty variations for share transfers in private companies.</w:t>
      </w:r>
    </w:p>
    <w:p w14:paraId="1D71AD3C" w14:textId="77777777" w:rsidR="004F47EE" w:rsidRPr="004F47EE" w:rsidRDefault="004F47EE" w:rsidP="004F47EE">
      <w:r w:rsidRPr="004F47EE">
        <w:rPr>
          <w:b/>
          <w:bCs/>
        </w:rPr>
        <w:t>Key Learnings:</w:t>
      </w:r>
    </w:p>
    <w:p w14:paraId="2D0F9B48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Stamp duty on share transfers is applicable at the rate of 0.015% of the consideration amount for dematerialized shares, as per recent amendments.</w:t>
      </w:r>
    </w:p>
    <w:p w14:paraId="4AC4F3BF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For physical share certificates, the duty is affixed via adhesive stamps or franking.</w:t>
      </w:r>
    </w:p>
    <w:p w14:paraId="00C7B105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Non-payment of stamp duty renders the transfer invalid in the eyes of the law.</w:t>
      </w:r>
    </w:p>
    <w:p w14:paraId="07DEBD00" w14:textId="77777777" w:rsidR="004F47EE" w:rsidRPr="004F47EE" w:rsidRDefault="004F47EE" w:rsidP="004F47EE">
      <w:r w:rsidRPr="004F47EE">
        <w:rPr>
          <w:b/>
          <w:bCs/>
        </w:rPr>
        <w:t>Challenges Faced:</w:t>
      </w:r>
    </w:p>
    <w:p w14:paraId="0705549D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Understanding the interplay between central and state regulations, especially for private companies.</w:t>
      </w:r>
    </w:p>
    <w:p w14:paraId="728BBF12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Finding precedents or case laws specifically dealing with non-compliance in private companies.</w:t>
      </w:r>
    </w:p>
    <w:p w14:paraId="762E084A" w14:textId="77777777" w:rsidR="004F47EE" w:rsidRPr="004F47EE" w:rsidRDefault="004F47EE" w:rsidP="004F47EE">
      <w:r w:rsidRPr="004F47EE">
        <w:rPr>
          <w:b/>
          <w:bCs/>
        </w:rPr>
        <w:t>Outcome:</w:t>
      </w:r>
      <w:r w:rsidRPr="004F47EE">
        <w:br/>
        <w:t>Prepared a detailed report summarizing the process, applicable rates, and legal implications of non-compliance with stamp duty requirements.</w:t>
      </w:r>
    </w:p>
    <w:p w14:paraId="17991013" w14:textId="32ABDF33" w:rsidR="004F47EE" w:rsidRPr="004F47EE" w:rsidRDefault="004F47EE" w:rsidP="004F47EE">
      <w:r w:rsidRPr="004F47EE">
        <w:t>Would you like me to add more days or provide additional details?</w:t>
      </w:r>
    </w:p>
    <w:p w14:paraId="660A7015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Day 7: Drafting an NDA for a Client</w:t>
      </w:r>
    </w:p>
    <w:p w14:paraId="397AC4E6" w14:textId="77777777" w:rsidR="004F47EE" w:rsidRPr="004F47EE" w:rsidRDefault="004F47EE" w:rsidP="004F47EE">
      <w:r w:rsidRPr="004F47EE">
        <w:rPr>
          <w:b/>
          <w:bCs/>
        </w:rPr>
        <w:t>Tasks Performed:</w:t>
      </w:r>
    </w:p>
    <w:p w14:paraId="35E07B48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Drafted a Non-Disclosure Agreement (NDA) for a client in the technology sector to protect their confidential information during business negotiations.</w:t>
      </w:r>
    </w:p>
    <w:p w14:paraId="7FE636D2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lastRenderedPageBreak/>
        <w:t>Incorporated key clauses, such as the definition of confidential information, duration of confidentiality, and exceptions to confidentiality.</w:t>
      </w:r>
    </w:p>
    <w:p w14:paraId="3DD202F0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Reviewed precedents and best practices to ensure enforceability under Indian law.</w:t>
      </w:r>
    </w:p>
    <w:p w14:paraId="3CC7735A" w14:textId="77777777" w:rsidR="004F47EE" w:rsidRPr="004F47EE" w:rsidRDefault="004F47EE" w:rsidP="004F47EE">
      <w:r w:rsidRPr="004F47EE">
        <w:rPr>
          <w:b/>
          <w:bCs/>
        </w:rPr>
        <w:t>Key Learnings:</w:t>
      </w:r>
    </w:p>
    <w:p w14:paraId="4AA10615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An NDA must clearly define the scope and obligations of confidentiality to avoid disputes.</w:t>
      </w:r>
    </w:p>
    <w:p w14:paraId="1E732AEC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Including a dispute resolution mechanism ensures smoother enforcement.</w:t>
      </w:r>
    </w:p>
    <w:p w14:paraId="43426AAA" w14:textId="77777777" w:rsidR="004F47EE" w:rsidRPr="004F47EE" w:rsidRDefault="004F47EE" w:rsidP="004F47EE">
      <w:r w:rsidRPr="004F47EE">
        <w:rPr>
          <w:b/>
          <w:bCs/>
        </w:rPr>
        <w:t>Challenges Faced:</w:t>
      </w:r>
    </w:p>
    <w:p w14:paraId="6602C7CF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Balancing the client’s interests with practical enforceability in case of a breach.</w:t>
      </w:r>
    </w:p>
    <w:p w14:paraId="13B8380E" w14:textId="77777777" w:rsidR="004F47EE" w:rsidRPr="004F47EE" w:rsidRDefault="004F47EE" w:rsidP="004F47EE">
      <w:r w:rsidRPr="004F47EE">
        <w:rPr>
          <w:b/>
          <w:bCs/>
        </w:rPr>
        <w:t>Outcome:</w:t>
      </w:r>
      <w:r w:rsidRPr="004F47EE">
        <w:br/>
        <w:t>Prepared a final draft of the NDA and submitted it for review by the supervising attorney.</w:t>
      </w:r>
    </w:p>
    <w:p w14:paraId="1D4B1B20" w14:textId="77777777" w:rsidR="004F47EE" w:rsidRPr="004F47EE" w:rsidRDefault="004F47EE" w:rsidP="004F47EE">
      <w:r w:rsidRPr="004F47EE">
        <w:pict w14:anchorId="6022978B">
          <v:rect id="_x0000_i1153" style="width:0;height:0" o:hralign="center" o:hrstd="t" o:hr="t" fillcolor="#a0a0a0" stroked="f"/>
        </w:pict>
      </w:r>
    </w:p>
    <w:p w14:paraId="655C4A47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Day 8: Research on “Rights of Minority Shareholders in Private Companies”</w:t>
      </w:r>
    </w:p>
    <w:p w14:paraId="209A73B7" w14:textId="77777777" w:rsidR="004F47EE" w:rsidRPr="004F47EE" w:rsidRDefault="004F47EE" w:rsidP="004F47EE">
      <w:r w:rsidRPr="004F47EE">
        <w:rPr>
          <w:b/>
          <w:bCs/>
        </w:rPr>
        <w:t>Tasks Performed:</w:t>
      </w:r>
    </w:p>
    <w:p w14:paraId="6055F8DD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Analyzed provisions under the Companies Act, 2013, specifically Sections 241-246, concerning oppression and mismanagement.</w:t>
      </w:r>
    </w:p>
    <w:p w14:paraId="5D3917C4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Studied legal remedies available to minority shareholders under Indian corporate laws.</w:t>
      </w:r>
    </w:p>
    <w:p w14:paraId="7251A01A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Reviewed significant case laws, such as </w:t>
      </w:r>
      <w:r w:rsidRPr="004F47EE">
        <w:rPr>
          <w:i/>
          <w:iCs/>
        </w:rPr>
        <w:t>Needle Industries v. Needle Industries India Ltd</w:t>
      </w:r>
      <w:r w:rsidRPr="004F47EE">
        <w:t>.</w:t>
      </w:r>
    </w:p>
    <w:p w14:paraId="407806D9" w14:textId="77777777" w:rsidR="004F47EE" w:rsidRPr="004F47EE" w:rsidRDefault="004F47EE" w:rsidP="004F47EE">
      <w:r w:rsidRPr="004F47EE">
        <w:rPr>
          <w:b/>
          <w:bCs/>
        </w:rPr>
        <w:t>Key Learnings:</w:t>
      </w:r>
    </w:p>
    <w:p w14:paraId="57AB80FB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Minority shareholders have the right to approach the National Company Law Tribunal (NCLT) in cases of oppression or mismanagement.</w:t>
      </w:r>
    </w:p>
    <w:p w14:paraId="69800854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Buyback provisions and fair valuation of shares are crucial for protecting their interests.</w:t>
      </w:r>
    </w:p>
    <w:p w14:paraId="6FCC74FA" w14:textId="77777777" w:rsidR="004F47EE" w:rsidRPr="004F47EE" w:rsidRDefault="004F47EE" w:rsidP="004F47EE">
      <w:r w:rsidRPr="004F47EE">
        <w:rPr>
          <w:b/>
          <w:bCs/>
        </w:rPr>
        <w:t>Challenges Faced:</w:t>
      </w:r>
    </w:p>
    <w:p w14:paraId="11B07B55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Understanding the threshold for filing an application under oppression and mismanagement provisions.</w:t>
      </w:r>
    </w:p>
    <w:p w14:paraId="3A781D8F" w14:textId="77777777" w:rsidR="004F47EE" w:rsidRPr="004F47EE" w:rsidRDefault="004F47EE" w:rsidP="004F47EE">
      <w:r w:rsidRPr="004F47EE">
        <w:rPr>
          <w:b/>
          <w:bCs/>
        </w:rPr>
        <w:lastRenderedPageBreak/>
        <w:t>Outcome:</w:t>
      </w:r>
      <w:r w:rsidRPr="004F47EE">
        <w:br/>
        <w:t>Created a memorandum outlining rights, remedies, and procedural steps for minority shareholders.</w:t>
      </w:r>
    </w:p>
    <w:p w14:paraId="2D12BAD6" w14:textId="77777777" w:rsidR="004F47EE" w:rsidRPr="004F47EE" w:rsidRDefault="004F47EE" w:rsidP="004F47EE">
      <w:r w:rsidRPr="004F47EE">
        <w:pict w14:anchorId="2A1CA609">
          <v:rect id="_x0000_i1154" style="width:0;height:0" o:hralign="center" o:hrstd="t" o:hr="t" fillcolor="#a0a0a0" stroked="f"/>
        </w:pict>
      </w:r>
    </w:p>
    <w:p w14:paraId="42966CF3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Day 9: Research on “Implications of Non-Compliance with CSR Obligations”</w:t>
      </w:r>
    </w:p>
    <w:p w14:paraId="1FDE6B83" w14:textId="77777777" w:rsidR="004F47EE" w:rsidRPr="004F47EE" w:rsidRDefault="004F47EE" w:rsidP="004F47EE">
      <w:r w:rsidRPr="004F47EE">
        <w:rPr>
          <w:b/>
          <w:bCs/>
        </w:rPr>
        <w:t>Tasks Performed:</w:t>
      </w:r>
    </w:p>
    <w:p w14:paraId="32CF5423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Examined provisions under Section 135 of the Companies Act, 2013, and recent amendments related to Corporate Social Responsibility (CSR).</w:t>
      </w:r>
    </w:p>
    <w:p w14:paraId="56DB8A7F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Studied penalties for non-compliance with CSR spending and reporting obligations.</w:t>
      </w:r>
    </w:p>
    <w:p w14:paraId="3F5D046D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Analyzed case studies of companies penalized for CSR non-compliance.</w:t>
      </w:r>
    </w:p>
    <w:p w14:paraId="6E7F9EB7" w14:textId="77777777" w:rsidR="004F47EE" w:rsidRPr="004F47EE" w:rsidRDefault="004F47EE" w:rsidP="004F47EE">
      <w:r w:rsidRPr="004F47EE">
        <w:rPr>
          <w:b/>
          <w:bCs/>
        </w:rPr>
        <w:t>Key Learnings:</w:t>
      </w:r>
    </w:p>
    <w:p w14:paraId="30F8B982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Failure to spend the required CSR amount attracts monetary penalties, and companies must transfer unspent amounts to a specified fund.</w:t>
      </w:r>
    </w:p>
    <w:p w14:paraId="50F180C6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Non-disclosure in the Board Report also leads to penalties.</w:t>
      </w:r>
    </w:p>
    <w:p w14:paraId="5BE60FE2" w14:textId="77777777" w:rsidR="004F47EE" w:rsidRPr="004F47EE" w:rsidRDefault="004F47EE" w:rsidP="004F47EE">
      <w:r w:rsidRPr="004F47EE">
        <w:rPr>
          <w:b/>
          <w:bCs/>
        </w:rPr>
        <w:t>Challenges Faced:</w:t>
      </w:r>
    </w:p>
    <w:p w14:paraId="23FC36C8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Differentiating between mandatory and voluntary CSR activities in the reporting process.</w:t>
      </w:r>
    </w:p>
    <w:p w14:paraId="1DCE5CCB" w14:textId="77777777" w:rsidR="004F47EE" w:rsidRPr="004F47EE" w:rsidRDefault="004F47EE" w:rsidP="004F47EE">
      <w:r w:rsidRPr="004F47EE">
        <w:rPr>
          <w:b/>
          <w:bCs/>
        </w:rPr>
        <w:t>Outcome:</w:t>
      </w:r>
      <w:r w:rsidRPr="004F47EE">
        <w:br/>
        <w:t>Prepared a detailed presentation on the legal and financial implications of CSR non-compliance.</w:t>
      </w:r>
    </w:p>
    <w:p w14:paraId="10CA8BD3" w14:textId="77777777" w:rsidR="004F47EE" w:rsidRPr="004F47EE" w:rsidRDefault="004F47EE" w:rsidP="004F47EE">
      <w:r w:rsidRPr="004F47EE">
        <w:pict w14:anchorId="281A6862">
          <v:rect id="_x0000_i1155" style="width:0;height:0" o:hralign="center" o:hrstd="t" o:hr="t" fillcolor="#a0a0a0" stroked="f"/>
        </w:pict>
      </w:r>
    </w:p>
    <w:p w14:paraId="4562DA58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Day 10: Drafting a Partnership Deed</w:t>
      </w:r>
    </w:p>
    <w:p w14:paraId="7C5F40C0" w14:textId="77777777" w:rsidR="004F47EE" w:rsidRPr="004F47EE" w:rsidRDefault="004F47EE" w:rsidP="004F47EE">
      <w:r w:rsidRPr="004F47EE">
        <w:rPr>
          <w:b/>
          <w:bCs/>
        </w:rPr>
        <w:t>Tasks Performed:</w:t>
      </w:r>
    </w:p>
    <w:p w14:paraId="6D43FD55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Drafted a partnership deed for a client looking to start a consultancy business.</w:t>
      </w:r>
    </w:p>
    <w:p w14:paraId="645AA22F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Included key clauses, such as profit-sharing ratios, dispute resolution mechanisms, and partner roles and responsibilities.</w:t>
      </w:r>
    </w:p>
    <w:p w14:paraId="040CCC1B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Incorporated provisions for admission and retirement of partners.</w:t>
      </w:r>
    </w:p>
    <w:p w14:paraId="79FED1EA" w14:textId="77777777" w:rsidR="004F47EE" w:rsidRPr="004F47EE" w:rsidRDefault="004F47EE" w:rsidP="004F47EE">
      <w:r w:rsidRPr="004F47EE">
        <w:rPr>
          <w:b/>
          <w:bCs/>
        </w:rPr>
        <w:t>Key Learnings:</w:t>
      </w:r>
    </w:p>
    <w:p w14:paraId="3FC8015C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lastRenderedPageBreak/>
        <w:t>The partnership deed must be tailored to the specific needs of the business and partners.</w:t>
      </w:r>
    </w:p>
    <w:p w14:paraId="76E8E9EE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Including a clause for arbitration is crucial for efficient dispute resolution.</w:t>
      </w:r>
    </w:p>
    <w:p w14:paraId="6063428D" w14:textId="77777777" w:rsidR="004F47EE" w:rsidRPr="004F47EE" w:rsidRDefault="004F47EE" w:rsidP="004F47EE">
      <w:r w:rsidRPr="004F47EE">
        <w:rPr>
          <w:b/>
          <w:bCs/>
        </w:rPr>
        <w:t>Challenges Faced:</w:t>
      </w:r>
    </w:p>
    <w:p w14:paraId="5AFCF50F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Ensuring all partners’ interests were adequately protected without creating conflicts.</w:t>
      </w:r>
    </w:p>
    <w:p w14:paraId="3552387C" w14:textId="77777777" w:rsidR="004F47EE" w:rsidRPr="004F47EE" w:rsidRDefault="004F47EE" w:rsidP="004F47EE">
      <w:r w:rsidRPr="004F47EE">
        <w:rPr>
          <w:b/>
          <w:bCs/>
        </w:rPr>
        <w:t>Outcome:</w:t>
      </w:r>
      <w:r w:rsidRPr="004F47EE">
        <w:br/>
        <w:t>Submitted a final draft of the partnership deed for client review.</w:t>
      </w:r>
    </w:p>
    <w:p w14:paraId="2E4DC670" w14:textId="77777777" w:rsidR="004F47EE" w:rsidRPr="004F47EE" w:rsidRDefault="004F47EE" w:rsidP="004F47EE">
      <w:r w:rsidRPr="004F47EE">
        <w:pict w14:anchorId="18234B86">
          <v:rect id="_x0000_i1156" style="width:0;height:0" o:hralign="center" o:hrstd="t" o:hr="t" fillcolor="#a0a0a0" stroked="f"/>
        </w:pict>
      </w:r>
    </w:p>
    <w:p w14:paraId="78C284E9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Day 11: Research on “Validity of E-Contracts in India”</w:t>
      </w:r>
    </w:p>
    <w:p w14:paraId="5971D0C2" w14:textId="77777777" w:rsidR="004F47EE" w:rsidRPr="004F47EE" w:rsidRDefault="004F47EE" w:rsidP="004F47EE">
      <w:r w:rsidRPr="004F47EE">
        <w:rPr>
          <w:b/>
          <w:bCs/>
        </w:rPr>
        <w:t>Tasks Performed:</w:t>
      </w:r>
    </w:p>
    <w:p w14:paraId="7E6294E3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Analyzed the provisions of the Information Technology Act, 2000, regarding e-contracts.</w:t>
      </w:r>
    </w:p>
    <w:p w14:paraId="26F6D6AE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Studied essential elements of a valid contract under the Indian Contract Act, 1872, and their applicability to e-contracts.</w:t>
      </w:r>
    </w:p>
    <w:p w14:paraId="6696A1C2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Reviewed case laws like </w:t>
      </w:r>
      <w:r w:rsidRPr="004F47EE">
        <w:rPr>
          <w:i/>
          <w:iCs/>
        </w:rPr>
        <w:t>Trimex International FZE Ltd v. Vedanta Aluminium Ltd.</w:t>
      </w:r>
    </w:p>
    <w:p w14:paraId="3BC8736E" w14:textId="77777777" w:rsidR="004F47EE" w:rsidRPr="004F47EE" w:rsidRDefault="004F47EE" w:rsidP="004F47EE">
      <w:r w:rsidRPr="004F47EE">
        <w:rPr>
          <w:b/>
          <w:bCs/>
        </w:rPr>
        <w:t>Key Learnings:</w:t>
      </w:r>
    </w:p>
    <w:p w14:paraId="140128A4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E-contracts are valid under Indian law if they meet the essentials of offer, acceptance, and consideration.</w:t>
      </w:r>
    </w:p>
    <w:p w14:paraId="0B80E1B7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Electronic signatures are legally valid under the IT Act.</w:t>
      </w:r>
    </w:p>
    <w:p w14:paraId="6A5FDD8E" w14:textId="77777777" w:rsidR="004F47EE" w:rsidRPr="004F47EE" w:rsidRDefault="004F47EE" w:rsidP="004F47EE">
      <w:r w:rsidRPr="004F47EE">
        <w:rPr>
          <w:b/>
          <w:bCs/>
        </w:rPr>
        <w:t>Challenges Faced:</w:t>
      </w:r>
    </w:p>
    <w:p w14:paraId="7AC373A3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Understanding exceptions, such as contracts requiring physical signatures under specific laws.</w:t>
      </w:r>
    </w:p>
    <w:p w14:paraId="3738395D" w14:textId="77777777" w:rsidR="004F47EE" w:rsidRPr="004F47EE" w:rsidRDefault="004F47EE" w:rsidP="004F47EE">
      <w:r w:rsidRPr="004F47EE">
        <w:rPr>
          <w:b/>
          <w:bCs/>
        </w:rPr>
        <w:t>Outcome:</w:t>
      </w:r>
      <w:r w:rsidRPr="004F47EE">
        <w:br/>
        <w:t>Prepared a comprehensive research note highlighting the validity, enforceability, and challenges of e-contracts in India.</w:t>
      </w:r>
    </w:p>
    <w:p w14:paraId="02FD7616" w14:textId="77777777" w:rsidR="004F47EE" w:rsidRPr="004F47EE" w:rsidRDefault="004F47EE" w:rsidP="004F47EE">
      <w:r w:rsidRPr="004F47EE">
        <w:pict w14:anchorId="1D1517F1">
          <v:rect id="_x0000_i1157" style="width:0;height:0" o:hralign="center" o:hrstd="t" o:hr="t" fillcolor="#a0a0a0" stroked="f"/>
        </w:pict>
      </w:r>
    </w:p>
    <w:p w14:paraId="50A7E08A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Day 12: Research on “Taxation of Cross-Border Transactions”</w:t>
      </w:r>
    </w:p>
    <w:p w14:paraId="535DF0F7" w14:textId="77777777" w:rsidR="004F47EE" w:rsidRPr="004F47EE" w:rsidRDefault="004F47EE" w:rsidP="004F47EE">
      <w:r w:rsidRPr="004F47EE">
        <w:rPr>
          <w:b/>
          <w:bCs/>
        </w:rPr>
        <w:t>Tasks Performed:</w:t>
      </w:r>
    </w:p>
    <w:p w14:paraId="55F2149D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lastRenderedPageBreak/>
        <w:t>Studied provisions under the Income Tax Act, 1961, and relevant Double Taxation Avoidance Agreements (DTAAs).</w:t>
      </w:r>
    </w:p>
    <w:p w14:paraId="430D9F8E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Analyzed the implications of Transfer Pricing regulations on cross-border transactions.</w:t>
      </w:r>
    </w:p>
    <w:p w14:paraId="7CAEE03A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Reviewed recent case laws involving disputes on Permanent Establishment (PE) and taxability.</w:t>
      </w:r>
    </w:p>
    <w:p w14:paraId="5BDD0283" w14:textId="77777777" w:rsidR="004F47EE" w:rsidRPr="004F47EE" w:rsidRDefault="004F47EE" w:rsidP="004F47EE">
      <w:r w:rsidRPr="004F47EE">
        <w:rPr>
          <w:b/>
          <w:bCs/>
        </w:rPr>
        <w:t>Key Learnings:</w:t>
      </w:r>
    </w:p>
    <w:p w14:paraId="48B635BA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Taxation of cross-border transactions requires careful consideration of DTAAs to avoid double taxation.</w:t>
      </w:r>
    </w:p>
    <w:p w14:paraId="11380E1E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Proper documentation is critical for compliance with Transfer Pricing norms.</w:t>
      </w:r>
    </w:p>
    <w:p w14:paraId="2E825DCE" w14:textId="77777777" w:rsidR="004F47EE" w:rsidRPr="004F47EE" w:rsidRDefault="004F47EE" w:rsidP="004F47EE">
      <w:r w:rsidRPr="004F47EE">
        <w:rPr>
          <w:b/>
          <w:bCs/>
        </w:rPr>
        <w:t>Challenges Faced:</w:t>
      </w:r>
    </w:p>
    <w:p w14:paraId="5A55778F" w14:textId="77777777" w:rsidR="004F47EE" w:rsidRPr="004F47EE" w:rsidRDefault="004F47EE" w:rsidP="004F47EE">
      <w:pPr>
        <w:numPr>
          <w:ilvl w:val="1"/>
          <w:numId w:val="1"/>
        </w:numPr>
      </w:pPr>
      <w:r w:rsidRPr="004F47EE">
        <w:t>Understanding the nuances of international tax treaties and their application to Indian entities.</w:t>
      </w:r>
    </w:p>
    <w:p w14:paraId="1BD88CFB" w14:textId="77777777" w:rsidR="004F47EE" w:rsidRPr="004F47EE" w:rsidRDefault="004F47EE" w:rsidP="004F47EE">
      <w:r w:rsidRPr="004F47EE">
        <w:rPr>
          <w:b/>
          <w:bCs/>
        </w:rPr>
        <w:t>Outcome:</w:t>
      </w:r>
      <w:r w:rsidRPr="004F47EE">
        <w:br/>
        <w:t>Drafted a detailed report on tax implications and compliance requirements for cross-border transactions, focusing on reducing litigation risks.</w:t>
      </w:r>
    </w:p>
    <w:p w14:paraId="4A78ED4A" w14:textId="1C92B3E6" w:rsidR="004F47EE" w:rsidRPr="004F47EE" w:rsidRDefault="004F47EE" w:rsidP="004F47EE">
      <w:r w:rsidRPr="004F47EE">
        <w:pict w14:anchorId="4D443E3C">
          <v:rect id="_x0000_i1158" style="width:0;height:0" o:hralign="center" o:hrstd="t" o:hr="t" fillcolor="#a0a0a0" stroked="f"/>
        </w:pict>
      </w:r>
    </w:p>
    <w:p w14:paraId="1C3402FB" w14:textId="77777777" w:rsidR="004F47EE" w:rsidRPr="004F47EE" w:rsidRDefault="004F47EE" w:rsidP="004F47EE">
      <w:pPr>
        <w:rPr>
          <w:b/>
          <w:bCs/>
        </w:rPr>
      </w:pPr>
      <w:r w:rsidRPr="004F47EE">
        <w:rPr>
          <w:b/>
          <w:bCs/>
        </w:rPr>
        <w:t>Conclusion of Work at DSK Legal</w:t>
      </w:r>
    </w:p>
    <w:p w14:paraId="12631B85" w14:textId="77777777" w:rsidR="004F47EE" w:rsidRPr="004F47EE" w:rsidRDefault="004F47EE" w:rsidP="004F47EE">
      <w:r w:rsidRPr="004F47EE">
        <w:t>My internship at </w:t>
      </w:r>
      <w:r w:rsidRPr="004F47EE">
        <w:rPr>
          <w:b/>
          <w:bCs/>
        </w:rPr>
        <w:t>DSK Legal, New Delhi</w:t>
      </w:r>
      <w:r w:rsidRPr="004F47EE">
        <w:t>, spanning 12 days, was an enriching experience that significantly enhanced my legal acumen. During this period, I undertook diverse assignments, ranging from corporate law research to drafting legal documents, enabling me to develop a deeper understanding of complex legal concepts and their practical applications. The internship honed my research, analytical, and drafting skills and provided me valuable exposure to the workings of a reputed law firm.</w:t>
      </w:r>
    </w:p>
    <w:p w14:paraId="7F2389F7" w14:textId="77777777" w:rsidR="004F47EE" w:rsidRDefault="004F47EE" w:rsidP="004F47EE">
      <w:r w:rsidRPr="004F47EE">
        <w:t>I express my gratitude to the associates and mentors at DSK Legal for their guidance and support, which made this internship a fulfilling learning experience.</w:t>
      </w:r>
    </w:p>
    <w:p w14:paraId="7F76C62F" w14:textId="77777777" w:rsidR="004F47EE" w:rsidRDefault="004F47EE" w:rsidP="004F47EE"/>
    <w:p w14:paraId="6B1497A8" w14:textId="2874F587" w:rsidR="004F47EE" w:rsidRDefault="004F47EE" w:rsidP="004F47EE">
      <w:r>
        <w:t>YOUR SINCERELY,</w:t>
      </w:r>
    </w:p>
    <w:p w14:paraId="7A06A2E3" w14:textId="400BB397" w:rsidR="004F47EE" w:rsidRDefault="004F47EE" w:rsidP="004F47EE">
      <w:r>
        <w:t>Ganga Singh Rathore</w:t>
      </w:r>
    </w:p>
    <w:p w14:paraId="3304CC47" w14:textId="643A85F8" w:rsidR="004F47EE" w:rsidRDefault="004F47EE" w:rsidP="004F47EE">
      <w:r>
        <w:t>BBA LLB 2023-28</w:t>
      </w:r>
    </w:p>
    <w:p w14:paraId="0D274183" w14:textId="76DC1D1D" w:rsidR="004F47EE" w:rsidRDefault="004F47EE" w:rsidP="004F47EE">
      <w:r>
        <w:t>Amity University Haryana</w:t>
      </w:r>
    </w:p>
    <w:p w14:paraId="51BB2757" w14:textId="77777777" w:rsidR="004F47EE" w:rsidRPr="004F47EE" w:rsidRDefault="004F47EE" w:rsidP="004F47EE"/>
    <w:p w14:paraId="25CE3823" w14:textId="77777777" w:rsidR="004F47EE" w:rsidRDefault="004F47EE"/>
    <w:sectPr w:rsidR="004F47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774C1"/>
    <w:multiLevelType w:val="multilevel"/>
    <w:tmpl w:val="E30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97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EE"/>
    <w:rsid w:val="004F47EE"/>
    <w:rsid w:val="006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E0A6"/>
  <w15:chartTrackingRefBased/>
  <w15:docId w15:val="{A84BEFC7-46F5-471E-BBF2-DB23B984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119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3253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466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237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05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20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075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3105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395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63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31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771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129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2433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3975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0774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74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13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776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651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523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5424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252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050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9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826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2582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1297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85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3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954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1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5840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0702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694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873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332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8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4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6259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921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091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6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172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9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0920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389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796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27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6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616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02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053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29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688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701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967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7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566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450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6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78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968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3407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137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6769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31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28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636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825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5603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18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4970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990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39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05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9428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837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4110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030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581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73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9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354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485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452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50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356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1633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Rathore</dc:creator>
  <cp:keywords/>
  <dc:description/>
  <cp:lastModifiedBy>Vansh Rathore</cp:lastModifiedBy>
  <cp:revision>1</cp:revision>
  <dcterms:created xsi:type="dcterms:W3CDTF">2024-12-01T17:12:00Z</dcterms:created>
  <dcterms:modified xsi:type="dcterms:W3CDTF">2024-12-01T17:20:00Z</dcterms:modified>
</cp:coreProperties>
</file>