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4893B" w14:textId="1017E6AB"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line="360" w:lineRule="atLeast"/>
        <w:jc w:val="both"/>
        <w:outlineLvl w:val="0"/>
        <w:rPr>
          <w:rFonts w:ascii="Segoe UI" w:eastAsia="Times New Roman" w:hAnsi="Segoe UI" w:cs="Segoe UI"/>
          <w:b/>
          <w:bCs/>
          <w:kern w:val="36"/>
          <w:sz w:val="48"/>
          <w:szCs w:val="48"/>
          <w:lang w:eastAsia="en-GB"/>
          <w14:ligatures w14:val="none"/>
        </w:rPr>
      </w:pPr>
      <w:r w:rsidRPr="00A9325E">
        <w:rPr>
          <w:rFonts w:ascii="Segoe UI" w:eastAsia="Times New Roman" w:hAnsi="Segoe UI" w:cs="Segoe UI"/>
          <w:b/>
          <w:bCs/>
          <w:kern w:val="36"/>
          <w:sz w:val="48"/>
          <w:szCs w:val="48"/>
          <w:lang w:eastAsia="en-GB"/>
          <w14:ligatures w14:val="none"/>
        </w:rPr>
        <w:t xml:space="preserve">The </w:t>
      </w:r>
      <w:r w:rsidRPr="00A9325E">
        <w:rPr>
          <w:rFonts w:ascii="Segoe UI" w:eastAsia="Times New Roman" w:hAnsi="Segoe UI" w:cs="Segoe UI"/>
          <w:b/>
          <w:bCs/>
          <w:kern w:val="36"/>
          <w:sz w:val="48"/>
          <w:szCs w:val="48"/>
          <w:lang w:eastAsia="en-GB"/>
          <w14:ligatures w14:val="none"/>
        </w:rPr>
        <w:t>Bhartiya</w:t>
      </w:r>
      <w:r w:rsidRPr="00A9325E">
        <w:rPr>
          <w:rFonts w:ascii="Segoe UI" w:eastAsia="Times New Roman" w:hAnsi="Segoe UI" w:cs="Segoe UI"/>
          <w:b/>
          <w:bCs/>
          <w:kern w:val="36"/>
          <w:sz w:val="48"/>
          <w:szCs w:val="48"/>
          <w:lang w:eastAsia="en-GB"/>
          <w14:ligatures w14:val="none"/>
        </w:rPr>
        <w:t xml:space="preserve"> Nyaya Sanhita’s Approach to Cybercrime: A Detailed Legal Analysis</w:t>
      </w:r>
    </w:p>
    <w:p w14:paraId="00A18D0E"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kern w:val="0"/>
          <w:sz w:val="36"/>
          <w:szCs w:val="36"/>
          <w:lang w:eastAsia="en-GB"/>
          <w14:ligatures w14:val="none"/>
        </w:rPr>
      </w:pPr>
      <w:r w:rsidRPr="00A9325E">
        <w:rPr>
          <w:rFonts w:ascii="var(--font-fk-grotesk)" w:eastAsia="Times New Roman" w:hAnsi="var(--font-fk-grotesk)" w:cs="Times New Roman"/>
          <w:kern w:val="0"/>
          <w:sz w:val="36"/>
          <w:szCs w:val="36"/>
          <w:lang w:eastAsia="en-GB"/>
          <w14:ligatures w14:val="none"/>
        </w:rPr>
        <w:t>Abstract</w:t>
      </w:r>
    </w:p>
    <w:p w14:paraId="50AD05DC" w14:textId="46AE7534"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 xml:space="preserve">This research article critically examines the approach of the </w:t>
      </w:r>
      <w:r w:rsidRPr="00A9325E">
        <w:rPr>
          <w:rFonts w:ascii="Segoe UI" w:eastAsia="Times New Roman" w:hAnsi="Segoe UI" w:cs="Segoe UI"/>
          <w:kern w:val="0"/>
          <w:lang w:eastAsia="en-GB"/>
          <w14:ligatures w14:val="none"/>
        </w:rPr>
        <w:t>Bhartiya</w:t>
      </w:r>
      <w:r w:rsidRPr="00A9325E">
        <w:rPr>
          <w:rFonts w:ascii="Segoe UI" w:eastAsia="Times New Roman" w:hAnsi="Segoe UI" w:cs="Segoe UI"/>
          <w:kern w:val="0"/>
          <w:lang w:eastAsia="en-GB"/>
          <w14:ligatures w14:val="none"/>
        </w:rPr>
        <w:t xml:space="preserve"> Nyaya Sanhita (BNS), 2023, to the growing challenge of cybercrime in India. The BNS, which replaced the colonial-era Indian Penal Code, introduces significant reforms to address the complexities of crime in the digital age. This paper explores the statutory framework of the BNS with respect to cybercrime, </w:t>
      </w:r>
      <w:r w:rsidRPr="00A9325E">
        <w:rPr>
          <w:rFonts w:ascii="Segoe UI" w:eastAsia="Times New Roman" w:hAnsi="Segoe UI" w:cs="Segoe UI"/>
          <w:kern w:val="0"/>
          <w:lang w:eastAsia="en-GB"/>
          <w14:ligatures w14:val="none"/>
        </w:rPr>
        <w:t>analyses</w:t>
      </w:r>
      <w:r w:rsidRPr="00A9325E">
        <w:rPr>
          <w:rFonts w:ascii="Segoe UI" w:eastAsia="Times New Roman" w:hAnsi="Segoe UI" w:cs="Segoe UI"/>
          <w:kern w:val="0"/>
          <w:lang w:eastAsia="en-GB"/>
          <w14:ligatures w14:val="none"/>
        </w:rPr>
        <w:t xml:space="preserve"> its key provisions, and compares them with the previous legal regime. It further investigates the interplay between the BNS and the Information Technology Act, 2000, judicial interpretations, and the admissibility of digital evidence. The article also addresses the challenges of enforcement, jurisdiction, and the need for gender-neutral and technologically adaptive legislation. Through doctrinal analysis and case law, the research highlights the strengths and limitations of the BNS in combating cybercrime and concludes with recommendations for legislative and judicial reforms to ensure effective protection against digital offenses in India.</w:t>
      </w:r>
    </w:p>
    <w:p w14:paraId="18C6B679" w14:textId="0396BCEB"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b/>
          <w:bCs/>
          <w:kern w:val="0"/>
          <w:bdr w:val="single" w:sz="2" w:space="0" w:color="E5E7EB" w:frame="1"/>
          <w:lang w:eastAsia="en-GB"/>
          <w14:ligatures w14:val="none"/>
        </w:rPr>
        <w:t>Keywords:</w:t>
      </w:r>
      <w:r w:rsidRPr="00A9325E">
        <w:rPr>
          <w:rFonts w:ascii="Segoe UI" w:eastAsia="Times New Roman" w:hAnsi="Segoe UI" w:cs="Segoe UI"/>
          <w:kern w:val="0"/>
          <w:lang w:eastAsia="en-GB"/>
          <w14:ligatures w14:val="none"/>
        </w:rPr>
        <w:t> </w:t>
      </w:r>
      <w:r w:rsidRPr="00A9325E">
        <w:rPr>
          <w:rFonts w:ascii="Segoe UI" w:eastAsia="Times New Roman" w:hAnsi="Segoe UI" w:cs="Segoe UI"/>
          <w:kern w:val="0"/>
          <w:lang w:eastAsia="en-GB"/>
          <w14:ligatures w14:val="none"/>
        </w:rPr>
        <w:t>Bhartiya</w:t>
      </w:r>
      <w:r w:rsidRPr="00A9325E">
        <w:rPr>
          <w:rFonts w:ascii="Segoe UI" w:eastAsia="Times New Roman" w:hAnsi="Segoe UI" w:cs="Segoe UI"/>
          <w:kern w:val="0"/>
          <w:lang w:eastAsia="en-GB"/>
          <w14:ligatures w14:val="none"/>
        </w:rPr>
        <w:t xml:space="preserve"> Nyaya Sanhita, Cybercrime, Digital Evidence, Criminal Law, Information Technology Act, Jurisdiction, Gender Neutrality</w:t>
      </w:r>
    </w:p>
    <w:p w14:paraId="1A52EDF7"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kern w:val="0"/>
          <w:sz w:val="36"/>
          <w:szCs w:val="36"/>
          <w:lang w:eastAsia="en-GB"/>
          <w14:ligatures w14:val="none"/>
        </w:rPr>
      </w:pPr>
      <w:r w:rsidRPr="00A9325E">
        <w:rPr>
          <w:rFonts w:ascii="var(--font-fk-grotesk)" w:eastAsia="Times New Roman" w:hAnsi="var(--font-fk-grotesk)" w:cs="Times New Roman"/>
          <w:kern w:val="0"/>
          <w:sz w:val="36"/>
          <w:szCs w:val="36"/>
          <w:lang w:eastAsia="en-GB"/>
          <w14:ligatures w14:val="none"/>
        </w:rPr>
        <w:t>1. Introduction</w:t>
      </w:r>
    </w:p>
    <w:p w14:paraId="7A7FE46F" w14:textId="6291B488"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 xml:space="preserve">The rapid digitization of Indian society has led to a surge in cybercrimes, ranging from online harassment and data theft to sophisticated financial frauds and cyberterrorism. Recognizing the inadequacy of the Indian Penal Code (IPC) of 1860 in addressing these challenges, the </w:t>
      </w:r>
      <w:r w:rsidRPr="00A9325E">
        <w:rPr>
          <w:rFonts w:ascii="Segoe UI" w:eastAsia="Times New Roman" w:hAnsi="Segoe UI" w:cs="Segoe UI"/>
          <w:kern w:val="0"/>
          <w:lang w:eastAsia="en-GB"/>
          <w14:ligatures w14:val="none"/>
        </w:rPr>
        <w:t>Bhartiya</w:t>
      </w:r>
      <w:r w:rsidRPr="00A9325E">
        <w:rPr>
          <w:rFonts w:ascii="Segoe UI" w:eastAsia="Times New Roman" w:hAnsi="Segoe UI" w:cs="Segoe UI"/>
          <w:kern w:val="0"/>
          <w:lang w:eastAsia="en-GB"/>
          <w14:ligatures w14:val="none"/>
        </w:rPr>
        <w:t xml:space="preserve"> Nyaya Sanhita (BNS), 2023, was enacted to modernize India’s criminal law framework. The BNS, along with the </w:t>
      </w:r>
      <w:r w:rsidRPr="00A9325E">
        <w:rPr>
          <w:rFonts w:ascii="Segoe UI" w:eastAsia="Times New Roman" w:hAnsi="Segoe UI" w:cs="Segoe UI"/>
          <w:kern w:val="0"/>
          <w:lang w:eastAsia="en-GB"/>
          <w14:ligatures w14:val="none"/>
        </w:rPr>
        <w:t>Bhartiya</w:t>
      </w:r>
      <w:r w:rsidRPr="00A9325E">
        <w:rPr>
          <w:rFonts w:ascii="Segoe UI" w:eastAsia="Times New Roman" w:hAnsi="Segoe UI" w:cs="Segoe UI"/>
          <w:kern w:val="0"/>
          <w:lang w:eastAsia="en-GB"/>
          <w14:ligatures w14:val="none"/>
        </w:rPr>
        <w:t xml:space="preserve"> Nagarik Suraksha Sanhita (BNSS) and the </w:t>
      </w:r>
      <w:r w:rsidRPr="00A9325E">
        <w:rPr>
          <w:rFonts w:ascii="Segoe UI" w:eastAsia="Times New Roman" w:hAnsi="Segoe UI" w:cs="Segoe UI"/>
          <w:kern w:val="0"/>
          <w:lang w:eastAsia="en-GB"/>
          <w14:ligatures w14:val="none"/>
        </w:rPr>
        <w:t>Bhartiya</w:t>
      </w:r>
      <w:r w:rsidRPr="00A9325E">
        <w:rPr>
          <w:rFonts w:ascii="Segoe UI" w:eastAsia="Times New Roman" w:hAnsi="Segoe UI" w:cs="Segoe UI"/>
          <w:kern w:val="0"/>
          <w:lang w:eastAsia="en-GB"/>
          <w14:ligatures w14:val="none"/>
        </w:rPr>
        <w:t xml:space="preserve"> Sakshya Adhiniyam (BSA), aims to provide a comprehensive legal response to contemporary crimes, including those perpetrated through digital means.</w:t>
      </w:r>
    </w:p>
    <w:p w14:paraId="176B7003"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This article provides an in-depth analysis of the BNS’s approach to cybercrime, examining its statutory provisions, the integration of digital evidence, and the interplay with existing cyber laws. It also evaluates the practical and constitutional challenges in enforcing cybercrime laws and offers recommendations for future reforms.</w:t>
      </w:r>
    </w:p>
    <w:p w14:paraId="0FB4D5F8"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kern w:val="0"/>
          <w:sz w:val="36"/>
          <w:szCs w:val="36"/>
          <w:lang w:eastAsia="en-GB"/>
          <w14:ligatures w14:val="none"/>
        </w:rPr>
      </w:pPr>
      <w:r w:rsidRPr="00A9325E">
        <w:rPr>
          <w:rFonts w:ascii="var(--font-fk-grotesk)" w:eastAsia="Times New Roman" w:hAnsi="var(--font-fk-grotesk)" w:cs="Times New Roman"/>
          <w:kern w:val="0"/>
          <w:sz w:val="36"/>
          <w:szCs w:val="36"/>
          <w:lang w:eastAsia="en-GB"/>
          <w14:ligatures w14:val="none"/>
        </w:rPr>
        <w:t>2. Statutory Framework: Cybercrime Under the BNS</w:t>
      </w:r>
    </w:p>
    <w:p w14:paraId="27814B62"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2.1. Overview of the BNS’s Digital Provisions</w:t>
      </w:r>
    </w:p>
    <w:p w14:paraId="2635C299" w14:textId="77777777" w:rsid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lastRenderedPageBreak/>
        <w:t>The BNS, 2023, introduces several sections that directly or indirectly address cybercrime. While the Information Technology Act, 2000 (IT Act), remains the primary legislation for cyber offenses, the BNS fills critical gaps where digital conduct intersects with traditional criminal law. Key provisions include:</w:t>
      </w:r>
    </w:p>
    <w:p w14:paraId="280565AF"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p>
    <w:p w14:paraId="777732CF" w14:textId="77777777" w:rsidR="00A9325E" w:rsidRPr="00A9325E" w:rsidRDefault="00A9325E" w:rsidP="00A9325E">
      <w:pPr>
        <w:numPr>
          <w:ilvl w:val="0"/>
          <w:numId w:val="1"/>
        </w:num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b/>
          <w:bCs/>
          <w:kern w:val="0"/>
          <w:bdr w:val="single" w:sz="2" w:space="0" w:color="E5E7EB" w:frame="1"/>
          <w:lang w:eastAsia="en-GB"/>
          <w14:ligatures w14:val="none"/>
        </w:rPr>
        <w:t>Section 75:</w:t>
      </w:r>
      <w:r w:rsidRPr="00A9325E">
        <w:rPr>
          <w:rFonts w:ascii="Segoe UI" w:eastAsia="Times New Roman" w:hAnsi="Segoe UI" w:cs="Segoe UI"/>
          <w:kern w:val="0"/>
          <w:lang w:eastAsia="en-GB"/>
          <w14:ligatures w14:val="none"/>
        </w:rPr>
        <w:t> Sexual harassment via electronic means, including showing pornography against the will of a woman.</w:t>
      </w:r>
    </w:p>
    <w:p w14:paraId="32E51720" w14:textId="77777777" w:rsidR="00A9325E" w:rsidRPr="00A9325E" w:rsidRDefault="00A9325E" w:rsidP="00A9325E">
      <w:pPr>
        <w:numPr>
          <w:ilvl w:val="0"/>
          <w:numId w:val="1"/>
        </w:num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b/>
          <w:bCs/>
          <w:kern w:val="0"/>
          <w:bdr w:val="single" w:sz="2" w:space="0" w:color="E5E7EB" w:frame="1"/>
          <w:lang w:eastAsia="en-GB"/>
          <w14:ligatures w14:val="none"/>
        </w:rPr>
        <w:t>Section 77:</w:t>
      </w:r>
      <w:r w:rsidRPr="00A9325E">
        <w:rPr>
          <w:rFonts w:ascii="Segoe UI" w:eastAsia="Times New Roman" w:hAnsi="Segoe UI" w:cs="Segoe UI"/>
          <w:kern w:val="0"/>
          <w:lang w:eastAsia="en-GB"/>
          <w14:ligatures w14:val="none"/>
        </w:rPr>
        <w:t> Voyeurism, including capturing and disseminating private images without consent.</w:t>
      </w:r>
    </w:p>
    <w:p w14:paraId="19B4FE12" w14:textId="77777777" w:rsidR="00A9325E" w:rsidRPr="00A9325E" w:rsidRDefault="00A9325E" w:rsidP="00A9325E">
      <w:pPr>
        <w:numPr>
          <w:ilvl w:val="0"/>
          <w:numId w:val="1"/>
        </w:num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b/>
          <w:bCs/>
          <w:kern w:val="0"/>
          <w:bdr w:val="single" w:sz="2" w:space="0" w:color="E5E7EB" w:frame="1"/>
          <w:lang w:eastAsia="en-GB"/>
          <w14:ligatures w14:val="none"/>
        </w:rPr>
        <w:t>Section 78:</w:t>
      </w:r>
      <w:r w:rsidRPr="00A9325E">
        <w:rPr>
          <w:rFonts w:ascii="Segoe UI" w:eastAsia="Times New Roman" w:hAnsi="Segoe UI" w:cs="Segoe UI"/>
          <w:kern w:val="0"/>
          <w:lang w:eastAsia="en-GB"/>
          <w14:ligatures w14:val="none"/>
        </w:rPr>
        <w:t> Stalking, including monitoring or contacting a woman through electronic communication.</w:t>
      </w:r>
    </w:p>
    <w:p w14:paraId="4F83AB0A" w14:textId="77777777" w:rsidR="00A9325E" w:rsidRPr="00A9325E" w:rsidRDefault="00A9325E" w:rsidP="00A9325E">
      <w:pPr>
        <w:numPr>
          <w:ilvl w:val="0"/>
          <w:numId w:val="1"/>
        </w:num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b/>
          <w:bCs/>
          <w:kern w:val="0"/>
          <w:bdr w:val="single" w:sz="2" w:space="0" w:color="E5E7EB" w:frame="1"/>
          <w:lang w:eastAsia="en-GB"/>
          <w14:ligatures w14:val="none"/>
        </w:rPr>
        <w:t>Section 294:</w:t>
      </w:r>
      <w:r w:rsidRPr="00A9325E">
        <w:rPr>
          <w:rFonts w:ascii="Segoe UI" w:eastAsia="Times New Roman" w:hAnsi="Segoe UI" w:cs="Segoe UI"/>
          <w:kern w:val="0"/>
          <w:lang w:eastAsia="en-GB"/>
          <w14:ligatures w14:val="none"/>
        </w:rPr>
        <w:t> Publication and transmission of obscene material electronically.</w:t>
      </w:r>
    </w:p>
    <w:p w14:paraId="094588CF" w14:textId="77777777" w:rsidR="00A9325E" w:rsidRPr="00A9325E" w:rsidRDefault="00A9325E" w:rsidP="00A9325E">
      <w:pPr>
        <w:numPr>
          <w:ilvl w:val="0"/>
          <w:numId w:val="1"/>
        </w:num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b/>
          <w:bCs/>
          <w:kern w:val="0"/>
          <w:bdr w:val="single" w:sz="2" w:space="0" w:color="E5E7EB" w:frame="1"/>
          <w:lang w:eastAsia="en-GB"/>
          <w14:ligatures w14:val="none"/>
        </w:rPr>
        <w:t>Section 303:</w:t>
      </w:r>
      <w:r w:rsidRPr="00A9325E">
        <w:rPr>
          <w:rFonts w:ascii="Segoe UI" w:eastAsia="Times New Roman" w:hAnsi="Segoe UI" w:cs="Segoe UI"/>
          <w:kern w:val="0"/>
          <w:lang w:eastAsia="en-GB"/>
          <w14:ligatures w14:val="none"/>
        </w:rPr>
        <w:t> Theft of mobile phones, data, or computer hardware/software.</w:t>
      </w:r>
    </w:p>
    <w:p w14:paraId="4B9E2F6F" w14:textId="77777777" w:rsidR="00A9325E" w:rsidRDefault="00A9325E" w:rsidP="00A9325E">
      <w:pPr>
        <w:numPr>
          <w:ilvl w:val="0"/>
          <w:numId w:val="1"/>
        </w:num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b/>
          <w:bCs/>
          <w:kern w:val="0"/>
          <w:bdr w:val="single" w:sz="2" w:space="0" w:color="E5E7EB" w:frame="1"/>
          <w:lang w:eastAsia="en-GB"/>
          <w14:ligatures w14:val="none"/>
        </w:rPr>
        <w:t>Section 48:</w:t>
      </w:r>
      <w:r w:rsidRPr="00A9325E">
        <w:rPr>
          <w:rFonts w:ascii="Segoe UI" w:eastAsia="Times New Roman" w:hAnsi="Segoe UI" w:cs="Segoe UI"/>
          <w:kern w:val="0"/>
          <w:lang w:eastAsia="en-GB"/>
          <w14:ligatures w14:val="none"/>
        </w:rPr>
        <w:t> Extra-territorial jurisdiction for abetment of offenses committed in India from abroad.</w:t>
      </w:r>
    </w:p>
    <w:p w14:paraId="26312CE8"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ind w:left="720"/>
        <w:jc w:val="both"/>
        <w:rPr>
          <w:rFonts w:ascii="Segoe UI" w:eastAsia="Times New Roman" w:hAnsi="Segoe UI" w:cs="Segoe UI"/>
          <w:kern w:val="0"/>
          <w:lang w:eastAsia="en-GB"/>
          <w14:ligatures w14:val="none"/>
        </w:rPr>
      </w:pPr>
    </w:p>
    <w:p w14:paraId="0E8EA50C"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These sections reflect the legislature’s intent to address both the substance and modalities of cybercrime, recognizing the unique harm caused by digital offenses.</w:t>
      </w:r>
    </w:p>
    <w:p w14:paraId="115E6A2B"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2.2. Comparison with the Indian Penal Code</w:t>
      </w:r>
    </w:p>
    <w:p w14:paraId="6E1BBEEC" w14:textId="77777777" w:rsid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The IPC, drafted in the 19th century, lacked explicit provisions for cybercrime. Offenses such as criminal intimidation, cheating, or obscenity were not designed for the complexities of digital communication. The BNS, in contrast, modernizes these offenses by:</w:t>
      </w:r>
    </w:p>
    <w:p w14:paraId="045BD14F"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p>
    <w:p w14:paraId="397852A1" w14:textId="77777777" w:rsidR="00A9325E" w:rsidRPr="00A9325E" w:rsidRDefault="00A9325E" w:rsidP="00A9325E">
      <w:pPr>
        <w:numPr>
          <w:ilvl w:val="0"/>
          <w:numId w:val="2"/>
        </w:num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Including digital and electronic means in the definition of traditional crimes.</w:t>
      </w:r>
    </w:p>
    <w:p w14:paraId="5806BDBC" w14:textId="77777777" w:rsidR="00A9325E" w:rsidRPr="00A9325E" w:rsidRDefault="00A9325E" w:rsidP="00A9325E">
      <w:pPr>
        <w:numPr>
          <w:ilvl w:val="0"/>
          <w:numId w:val="2"/>
        </w:num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Providing higher penalties for repeat digital offenders.</w:t>
      </w:r>
    </w:p>
    <w:p w14:paraId="15A9A792" w14:textId="77777777" w:rsidR="00A9325E" w:rsidRPr="00A9325E" w:rsidRDefault="00A9325E" w:rsidP="00A9325E">
      <w:pPr>
        <w:numPr>
          <w:ilvl w:val="0"/>
          <w:numId w:val="2"/>
        </w:num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Recognizing new forms of harm, such as non-consensual image sharing and cyberstalking.</w:t>
      </w:r>
    </w:p>
    <w:p w14:paraId="288E5073"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kern w:val="0"/>
          <w:sz w:val="36"/>
          <w:szCs w:val="36"/>
          <w:lang w:eastAsia="en-GB"/>
          <w14:ligatures w14:val="none"/>
        </w:rPr>
      </w:pPr>
      <w:r w:rsidRPr="00A9325E">
        <w:rPr>
          <w:rFonts w:ascii="var(--font-fk-grotesk)" w:eastAsia="Times New Roman" w:hAnsi="var(--font-fk-grotesk)" w:cs="Times New Roman"/>
          <w:kern w:val="0"/>
          <w:sz w:val="36"/>
          <w:szCs w:val="36"/>
          <w:lang w:eastAsia="en-GB"/>
          <w14:ligatures w14:val="none"/>
        </w:rPr>
        <w:t>3. Key Cybercrime Offenses Under the BNS</w:t>
      </w:r>
    </w:p>
    <w:p w14:paraId="76B11F65"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3.1. Sexual Harassment and Digital Abuse (Section 75)</w:t>
      </w:r>
    </w:p>
    <w:p w14:paraId="040E5ACF" w14:textId="4975A19B" w:rsid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 xml:space="preserve">Section 75 criminalizes sexual harassment, including acts committed through electronic means. This includes sending unsolicited explicit content, making sexually </w:t>
      </w:r>
      <w:r w:rsidRPr="00A9325E">
        <w:rPr>
          <w:rFonts w:ascii="Segoe UI" w:eastAsia="Times New Roman" w:hAnsi="Segoe UI" w:cs="Segoe UI"/>
          <w:kern w:val="0"/>
          <w:lang w:eastAsia="en-GB"/>
          <w14:ligatures w14:val="none"/>
        </w:rPr>
        <w:t>coloured</w:t>
      </w:r>
      <w:r w:rsidRPr="00A9325E">
        <w:rPr>
          <w:rFonts w:ascii="Segoe UI" w:eastAsia="Times New Roman" w:hAnsi="Segoe UI" w:cs="Segoe UI"/>
          <w:kern w:val="0"/>
          <w:lang w:eastAsia="en-GB"/>
          <w14:ligatures w14:val="none"/>
        </w:rPr>
        <w:t xml:space="preserve"> remarks online, and showing pornography against the will of a woman. The provision recognizes the psychological harm inflicted through digital harassment and imposes imprisonment up to three years and fines for offenders.</w:t>
      </w:r>
    </w:p>
    <w:p w14:paraId="3CB84131"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p>
    <w:p w14:paraId="35BE6714"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lastRenderedPageBreak/>
        <w:t>Case Illustration</w:t>
      </w:r>
    </w:p>
    <w:p w14:paraId="648546BA"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If a person sends obscene images or videos to a woman via WhatsApp without her consent, such conduct would be punishable under Section 75 BNS, in addition to relevant provisions of the IT Act.</w:t>
      </w:r>
    </w:p>
    <w:p w14:paraId="67F72CF4"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3.2. Voyeurism and Non-Consensual Image Sharing (Section 77)</w:t>
      </w:r>
    </w:p>
    <w:p w14:paraId="10846F40"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Section 77 addresses the growing menace of voyeurism and image-based abuse. It criminalizes the capture, storage, and dissemination of private images without consent, including "revenge porn." First-time offenders face imprisonment of one to three years, escalating to three to seven years for repeat offenses. The provision also covers the unauthorized sharing of images initially captured with consent.</w:t>
      </w:r>
    </w:p>
    <w:p w14:paraId="43AC9F39"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Legal Significance</w:t>
      </w:r>
    </w:p>
    <w:p w14:paraId="506537A8"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This section is crucial in an era where intimate images can be rapidly disseminated online, causing irreparable harm to victims.</w:t>
      </w:r>
    </w:p>
    <w:p w14:paraId="5614FBBA"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3.3. Cyberstalking (Section 78)</w:t>
      </w:r>
    </w:p>
    <w:p w14:paraId="7E09E449" w14:textId="47F4A904"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 xml:space="preserve">Section 78 criminalizes stalking, including persistent monitoring or contacting a woman through electronic communication. This covers </w:t>
      </w:r>
      <w:r w:rsidRPr="00A9325E">
        <w:rPr>
          <w:rFonts w:ascii="Segoe UI" w:eastAsia="Times New Roman" w:hAnsi="Segoe UI" w:cs="Segoe UI"/>
          <w:kern w:val="0"/>
          <w:lang w:eastAsia="en-GB"/>
          <w14:ligatures w14:val="none"/>
        </w:rPr>
        <w:t>behaviours</w:t>
      </w:r>
      <w:r w:rsidRPr="00A9325E">
        <w:rPr>
          <w:rFonts w:ascii="Segoe UI" w:eastAsia="Times New Roman" w:hAnsi="Segoe UI" w:cs="Segoe UI"/>
          <w:kern w:val="0"/>
          <w:lang w:eastAsia="en-GB"/>
          <w14:ligatures w14:val="none"/>
        </w:rPr>
        <w:t xml:space="preserve"> such as repeated messaging, GPS tracking, and creating fake profiles to harass victims. The law prescribes up to three years’ imprisonment for a first offense and five years for subsequent convictions.</w:t>
      </w:r>
    </w:p>
    <w:p w14:paraId="5C87BCEE"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Gender-Specific Critique</w:t>
      </w:r>
    </w:p>
    <w:p w14:paraId="5E67CC67"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While the section provides vital protection for women, it does not extend to male or transgender victims, raising concerns about gender neutrality.</w:t>
      </w:r>
    </w:p>
    <w:p w14:paraId="4F19725E"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3.4. Digital Obscenity (Section 294)</w:t>
      </w:r>
    </w:p>
    <w:p w14:paraId="1E457005" w14:textId="77777777" w:rsid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Section 294 prohibits the transmission of obscene material via electronic means, including the distribution of pornography and obscene messages on social media. Penalties include imprisonment up to three years and fines, with enhanced punishment for repeat offenders.</w:t>
      </w:r>
    </w:p>
    <w:p w14:paraId="236686E4" w14:textId="77777777" w:rsid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p>
    <w:p w14:paraId="6A46328D"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p>
    <w:p w14:paraId="68E72A8F"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lastRenderedPageBreak/>
        <w:t>3.5. Digital Theft (Section 303)</w:t>
      </w:r>
    </w:p>
    <w:p w14:paraId="07589961"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Section 303 covers the theft of digital devices and data, enabling prosecution for the physical theft of smartphones, laptops, and unauthorized access to digital assets. This section complements the IT Act’s provisions on hacking and data theft.</w:t>
      </w:r>
    </w:p>
    <w:p w14:paraId="6D00C127"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3.6. Organized Cybercrime (Sections 111–112)</w:t>
      </w:r>
    </w:p>
    <w:p w14:paraId="50FEE7BC"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Sections 111 and 112 expand the definition of organized crime to include cyber-enabled offenses such as phishing, ransomware, and coordinated online fraud. These sections impose stringent penalties for group-based cybercrimes, reflecting their heightened societal impact.</w:t>
      </w:r>
    </w:p>
    <w:p w14:paraId="5E0CE6CB"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3.7. Extra-Territorial Jurisdiction (Section 48)</w:t>
      </w:r>
    </w:p>
    <w:p w14:paraId="2FFEEF3C"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Section 48 empowers Indian courts to prosecute individuals outside India who abet cybercrimes targeting Indian victims. This is particularly relevant for cross-border cyberattacks and international phishing scams.</w:t>
      </w:r>
    </w:p>
    <w:p w14:paraId="622CA371" w14:textId="69BE4F88"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kern w:val="0"/>
          <w:sz w:val="36"/>
          <w:szCs w:val="36"/>
          <w:lang w:eastAsia="en-GB"/>
          <w14:ligatures w14:val="none"/>
        </w:rPr>
      </w:pPr>
      <w:r w:rsidRPr="00A9325E">
        <w:rPr>
          <w:rFonts w:ascii="var(--font-fk-grotesk)" w:eastAsia="Times New Roman" w:hAnsi="var(--font-fk-grotesk)" w:cs="Times New Roman"/>
          <w:kern w:val="0"/>
          <w:sz w:val="36"/>
          <w:szCs w:val="36"/>
          <w:lang w:eastAsia="en-GB"/>
          <w14:ligatures w14:val="none"/>
        </w:rPr>
        <w:t xml:space="preserve">4. Digital Evidence and the </w:t>
      </w:r>
      <w:r w:rsidRPr="00A9325E">
        <w:rPr>
          <w:rFonts w:ascii="var(--font-fk-grotesk)" w:eastAsia="Times New Roman" w:hAnsi="var(--font-fk-grotesk)" w:cs="Times New Roman"/>
          <w:kern w:val="0"/>
          <w:sz w:val="36"/>
          <w:szCs w:val="36"/>
          <w:lang w:eastAsia="en-GB"/>
          <w14:ligatures w14:val="none"/>
        </w:rPr>
        <w:t>Bhartiya</w:t>
      </w:r>
      <w:r w:rsidRPr="00A9325E">
        <w:rPr>
          <w:rFonts w:ascii="var(--font-fk-grotesk)" w:eastAsia="Times New Roman" w:hAnsi="var(--font-fk-grotesk)" w:cs="Times New Roman"/>
          <w:kern w:val="0"/>
          <w:sz w:val="36"/>
          <w:szCs w:val="36"/>
          <w:lang w:eastAsia="en-GB"/>
          <w14:ligatures w14:val="none"/>
        </w:rPr>
        <w:t xml:space="preserve"> Sakshya Adhiniyam</w:t>
      </w:r>
    </w:p>
    <w:p w14:paraId="65870D4D" w14:textId="26D330EF" w:rsid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 xml:space="preserve">The </w:t>
      </w:r>
      <w:r w:rsidRPr="00A9325E">
        <w:rPr>
          <w:rFonts w:ascii="Segoe UI" w:eastAsia="Times New Roman" w:hAnsi="Segoe UI" w:cs="Segoe UI"/>
          <w:kern w:val="0"/>
          <w:lang w:eastAsia="en-GB"/>
          <w14:ligatures w14:val="none"/>
        </w:rPr>
        <w:t>Bhartiya</w:t>
      </w:r>
      <w:r w:rsidRPr="00A9325E">
        <w:rPr>
          <w:rFonts w:ascii="Segoe UI" w:eastAsia="Times New Roman" w:hAnsi="Segoe UI" w:cs="Segoe UI"/>
          <w:kern w:val="0"/>
          <w:lang w:eastAsia="en-GB"/>
          <w14:ligatures w14:val="none"/>
        </w:rPr>
        <w:t xml:space="preserve"> Sakshya Adhiniyam (BSA), 2023, significantly strengthens the prosecution of cybercrimes by:</w:t>
      </w:r>
    </w:p>
    <w:p w14:paraId="18D52D41"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p>
    <w:p w14:paraId="0916285B" w14:textId="77777777" w:rsidR="00A9325E" w:rsidRPr="00A9325E" w:rsidRDefault="00A9325E" w:rsidP="00A9325E">
      <w:pPr>
        <w:numPr>
          <w:ilvl w:val="0"/>
          <w:numId w:val="3"/>
        </w:num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Recognizing electronic records as primary evidence, including emails, server logs, and social media content.</w:t>
      </w:r>
    </w:p>
    <w:p w14:paraId="3216D552" w14:textId="77777777" w:rsidR="00A9325E" w:rsidRPr="00A9325E" w:rsidRDefault="00A9325E" w:rsidP="00A9325E">
      <w:pPr>
        <w:numPr>
          <w:ilvl w:val="0"/>
          <w:numId w:val="3"/>
        </w:num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Permitting oral evidence via electronic means, such as video conferencing.</w:t>
      </w:r>
    </w:p>
    <w:p w14:paraId="31026F5A" w14:textId="77777777" w:rsidR="00A9325E" w:rsidRDefault="00A9325E" w:rsidP="00A9325E">
      <w:pPr>
        <w:numPr>
          <w:ilvl w:val="0"/>
          <w:numId w:val="3"/>
        </w:num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Expanding the definition of secondary evidence to include expert testimony on digital documents.</w:t>
      </w:r>
    </w:p>
    <w:p w14:paraId="401FF1C8"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ind w:left="720"/>
        <w:jc w:val="both"/>
        <w:rPr>
          <w:rFonts w:ascii="Segoe UI" w:eastAsia="Times New Roman" w:hAnsi="Segoe UI" w:cs="Segoe UI"/>
          <w:kern w:val="0"/>
          <w:lang w:eastAsia="en-GB"/>
          <w14:ligatures w14:val="none"/>
        </w:rPr>
      </w:pPr>
    </w:p>
    <w:p w14:paraId="45768AE3"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These reforms ensure that digital evidence is admissible and reliable, addressing challenges in proving cybercrimes.</w:t>
      </w:r>
    </w:p>
    <w:p w14:paraId="6FBB1355"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kern w:val="0"/>
          <w:sz w:val="36"/>
          <w:szCs w:val="36"/>
          <w:lang w:eastAsia="en-GB"/>
          <w14:ligatures w14:val="none"/>
        </w:rPr>
      </w:pPr>
      <w:r w:rsidRPr="00A9325E">
        <w:rPr>
          <w:rFonts w:ascii="var(--font-fk-grotesk)" w:eastAsia="Times New Roman" w:hAnsi="var(--font-fk-grotesk)" w:cs="Times New Roman"/>
          <w:kern w:val="0"/>
          <w:sz w:val="36"/>
          <w:szCs w:val="36"/>
          <w:lang w:eastAsia="en-GB"/>
          <w14:ligatures w14:val="none"/>
        </w:rPr>
        <w:t>5. Interplay with the Information Technology Act, 2000</w:t>
      </w:r>
    </w:p>
    <w:p w14:paraId="76E1A128" w14:textId="77777777" w:rsid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While the BNS addresses cyber-enabled offenses, the IT Act remains the principal statute for technical cybercrimes such as hacking, identity theft, and unauthorized access. The BNS and IT Act operate in tandem, with the BNS covering offenses with a social or personal dimension (e.g., harassment, defamation), and the IT Act addressing technical breaches.</w:t>
      </w:r>
    </w:p>
    <w:p w14:paraId="0F7FB7F8"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p>
    <w:p w14:paraId="48F07058"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lastRenderedPageBreak/>
        <w:t>5.1. Overlaps and Conflicts</w:t>
      </w:r>
    </w:p>
    <w:p w14:paraId="4B12C0B3"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There are overlaps between the BNS and IT Act, particularly regarding offenses like identity theft and data breaches. This can lead to confusion about the applicable law and forum shopping. Judicial clarity is required to delineate the scope of each statute and prevent double jeopardy.</w:t>
      </w:r>
    </w:p>
    <w:p w14:paraId="29777FFA"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kern w:val="0"/>
          <w:sz w:val="36"/>
          <w:szCs w:val="36"/>
          <w:lang w:eastAsia="en-GB"/>
          <w14:ligatures w14:val="none"/>
        </w:rPr>
      </w:pPr>
      <w:r w:rsidRPr="00A9325E">
        <w:rPr>
          <w:rFonts w:ascii="var(--font-fk-grotesk)" w:eastAsia="Times New Roman" w:hAnsi="var(--font-fk-grotesk)" w:cs="Times New Roman"/>
          <w:kern w:val="0"/>
          <w:sz w:val="36"/>
          <w:szCs w:val="36"/>
          <w:lang w:eastAsia="en-GB"/>
          <w14:ligatures w14:val="none"/>
        </w:rPr>
        <w:t>6. Judicial Interpretation and Case Law</w:t>
      </w:r>
    </w:p>
    <w:p w14:paraId="68755157"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6.1. Defamation and Cyber Defamation</w:t>
      </w:r>
    </w:p>
    <w:p w14:paraId="77BE674B"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The BNS, under Section 356, retains criminal defamation, which extends to digital publications. Courts have recognized that defamatory content on social media can have global reach and severe consequences. In Swami Ramdev v. Facebook Inc. (2019), the Delhi High Court ordered the global removal of defamatory content, setting a precedent for cross-border enforcement.</w:t>
      </w:r>
    </w:p>
    <w:p w14:paraId="5E8DAFA4"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6.2. Free Speech and Reasonable Restrictions</w:t>
      </w:r>
    </w:p>
    <w:p w14:paraId="7C98091B"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In Subramanian Swamy v. Union of India (2016), the Supreme Court upheld the constitutionality of criminal defamation, balancing the right to free speech with the right to reputation. The same principles guide the interpretation of cyber defamation under the BNS.</w:t>
      </w:r>
    </w:p>
    <w:p w14:paraId="6FA24B8A"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6.3. Digital Harassment and Stalking</w:t>
      </w:r>
    </w:p>
    <w:p w14:paraId="4038DB34"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Courts have increasingly recognized the unique harm caused by digital harassment. In cases of cyberstalking, judicial interpretation has emphasized the need for victim-centric remedies and strict enforcement.</w:t>
      </w:r>
    </w:p>
    <w:p w14:paraId="603E2D49"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kern w:val="0"/>
          <w:sz w:val="36"/>
          <w:szCs w:val="36"/>
          <w:lang w:eastAsia="en-GB"/>
          <w14:ligatures w14:val="none"/>
        </w:rPr>
      </w:pPr>
      <w:r w:rsidRPr="00A9325E">
        <w:rPr>
          <w:rFonts w:ascii="var(--font-fk-grotesk)" w:eastAsia="Times New Roman" w:hAnsi="var(--font-fk-grotesk)" w:cs="Times New Roman"/>
          <w:kern w:val="0"/>
          <w:sz w:val="36"/>
          <w:szCs w:val="36"/>
          <w:lang w:eastAsia="en-GB"/>
          <w14:ligatures w14:val="none"/>
        </w:rPr>
        <w:t>7. Challenges in Enforcement and Jurisdiction</w:t>
      </w:r>
    </w:p>
    <w:p w14:paraId="4C5C29BA"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7.1. Gender-Specific Provisions</w:t>
      </w:r>
    </w:p>
    <w:p w14:paraId="06B9A71B" w14:textId="77777777" w:rsid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Many cybercrime provisions in the BNS are gender-specific, protecting only women. This leaves male and transgender victims without adequate legal recourse, contrary to the principle of equality before the law.</w:t>
      </w:r>
    </w:p>
    <w:p w14:paraId="6494867F" w14:textId="77777777" w:rsid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p>
    <w:p w14:paraId="4FF3BF3A" w14:textId="77777777" w:rsid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p>
    <w:p w14:paraId="3C4AE915" w14:textId="77777777" w:rsid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p>
    <w:p w14:paraId="4851474A"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p>
    <w:p w14:paraId="1B4C64D1"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lastRenderedPageBreak/>
        <w:t>7.2. Technological Complexity</w:t>
      </w:r>
    </w:p>
    <w:p w14:paraId="5CC46DA1"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Law enforcement agencies often lack the technical expertise to investigate and prosecute cybercrimes. Digital evidence can be easily destroyed or manipulated, and tracing anonymous perpetrators remains challenging.</w:t>
      </w:r>
    </w:p>
    <w:p w14:paraId="76AEB32B"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7.3. Jurisdictional Issues</w:t>
      </w:r>
    </w:p>
    <w:p w14:paraId="271C783A"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Cybercrimes often transcend national borders. While Section 48 provides extra-territorial jurisdiction, effective enforcement requires international cooperation, mutual legal assistance treaties, and robust extradition mechanisms.</w:t>
      </w:r>
    </w:p>
    <w:p w14:paraId="0A3D0970"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7.4. Overlapping Statutes</w:t>
      </w:r>
    </w:p>
    <w:p w14:paraId="629FC249"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The coexistence of the BNS and IT Act can lead to procedural confusion and delays in prosecution. Clear guidelines are needed to determine the appropriate statute and forum for different types of cybercrimes.</w:t>
      </w:r>
    </w:p>
    <w:p w14:paraId="25ED57FE"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kern w:val="0"/>
          <w:sz w:val="36"/>
          <w:szCs w:val="36"/>
          <w:lang w:eastAsia="en-GB"/>
          <w14:ligatures w14:val="none"/>
        </w:rPr>
      </w:pPr>
      <w:r w:rsidRPr="00A9325E">
        <w:rPr>
          <w:rFonts w:ascii="var(--font-fk-grotesk)" w:eastAsia="Times New Roman" w:hAnsi="var(--font-fk-grotesk)" w:cs="Times New Roman"/>
          <w:kern w:val="0"/>
          <w:sz w:val="36"/>
          <w:szCs w:val="36"/>
          <w:lang w:eastAsia="en-GB"/>
          <w14:ligatures w14:val="none"/>
        </w:rPr>
        <w:t>8. Recommendations for Reform</w:t>
      </w:r>
    </w:p>
    <w:p w14:paraId="1D556D36"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8.1. Gender Neutrality</w:t>
      </w:r>
    </w:p>
    <w:p w14:paraId="714B8476"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Cybercrime provisions should be made gender-neutral to protect all victims, regardless of gender identity.</w:t>
      </w:r>
    </w:p>
    <w:p w14:paraId="79258685"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8.2. Technological Adaptation</w:t>
      </w:r>
    </w:p>
    <w:p w14:paraId="2FA68C7C"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The BNS should be periodically updated to address emerging forms of cybercrime, such as deepfakes, AI-generated content, and new types of financial fraud.</w:t>
      </w:r>
    </w:p>
    <w:p w14:paraId="236847BE"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8.3. Capacity Building</w:t>
      </w:r>
    </w:p>
    <w:p w14:paraId="7294FD91"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Investments in training law enforcement and judicial officers in digital forensics and cyber investigation are essential for effective enforcement.</w:t>
      </w:r>
    </w:p>
    <w:p w14:paraId="58D090B2"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t>8.4. International Cooperation</w:t>
      </w:r>
    </w:p>
    <w:p w14:paraId="544BE197" w14:textId="77777777" w:rsid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India should strengthen international cooperation mechanisms to address cross-border cybercrimes, including participation in global cybercrime treaties and frameworks.</w:t>
      </w:r>
    </w:p>
    <w:p w14:paraId="403E1655"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p>
    <w:p w14:paraId="7E1A5164"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b/>
          <w:bCs/>
          <w:kern w:val="0"/>
          <w:sz w:val="36"/>
          <w:szCs w:val="36"/>
          <w:lang w:eastAsia="en-GB"/>
          <w14:ligatures w14:val="none"/>
        </w:rPr>
      </w:pPr>
      <w:r w:rsidRPr="00A9325E">
        <w:rPr>
          <w:rFonts w:ascii="var(--font-fk-grotesk)" w:eastAsia="Times New Roman" w:hAnsi="var(--font-fk-grotesk)" w:cs="Times New Roman"/>
          <w:b/>
          <w:bCs/>
          <w:kern w:val="0"/>
          <w:sz w:val="36"/>
          <w:szCs w:val="36"/>
          <w:lang w:eastAsia="en-GB"/>
          <w14:ligatures w14:val="none"/>
        </w:rPr>
        <w:lastRenderedPageBreak/>
        <w:t>8.5. Harmonization with the IT Act</w:t>
      </w:r>
    </w:p>
    <w:p w14:paraId="52B16CFA"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Clear legislative and judicial guidelines should be established to harmonize the BNS and IT Act, preventing overlaps and ensuring efficient prosecution.</w:t>
      </w:r>
    </w:p>
    <w:p w14:paraId="7BAE9233"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spacing w:before="100" w:beforeAutospacing="1" w:after="100" w:afterAutospacing="1"/>
        <w:jc w:val="both"/>
        <w:outlineLvl w:val="1"/>
        <w:rPr>
          <w:rFonts w:ascii="var(--font-fk-grotesk)" w:eastAsia="Times New Roman" w:hAnsi="var(--font-fk-grotesk)" w:cs="Times New Roman"/>
          <w:kern w:val="0"/>
          <w:sz w:val="36"/>
          <w:szCs w:val="36"/>
          <w:lang w:eastAsia="en-GB"/>
          <w14:ligatures w14:val="none"/>
        </w:rPr>
      </w:pPr>
      <w:r w:rsidRPr="00A9325E">
        <w:rPr>
          <w:rFonts w:ascii="var(--font-fk-grotesk)" w:eastAsia="Times New Roman" w:hAnsi="var(--font-fk-grotesk)" w:cs="Times New Roman"/>
          <w:kern w:val="0"/>
          <w:sz w:val="36"/>
          <w:szCs w:val="36"/>
          <w:lang w:eastAsia="en-GB"/>
          <w14:ligatures w14:val="none"/>
        </w:rPr>
        <w:t>9. Conclusion</w:t>
      </w:r>
    </w:p>
    <w:p w14:paraId="732BB77E" w14:textId="022DD77C"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 xml:space="preserve">The </w:t>
      </w:r>
      <w:r w:rsidRPr="00A9325E">
        <w:rPr>
          <w:rFonts w:ascii="Segoe UI" w:eastAsia="Times New Roman" w:hAnsi="Segoe UI" w:cs="Segoe UI"/>
          <w:kern w:val="0"/>
          <w:lang w:eastAsia="en-GB"/>
          <w14:ligatures w14:val="none"/>
        </w:rPr>
        <w:t>Bhartiya</w:t>
      </w:r>
      <w:r w:rsidRPr="00A9325E">
        <w:rPr>
          <w:rFonts w:ascii="Segoe UI" w:eastAsia="Times New Roman" w:hAnsi="Segoe UI" w:cs="Segoe UI"/>
          <w:kern w:val="0"/>
          <w:lang w:eastAsia="en-GB"/>
          <w14:ligatures w14:val="none"/>
        </w:rPr>
        <w:t xml:space="preserve"> Nyaya Sanhita, 2023, marks a significant step forward in India’s fight against cybercrime. By explicitly addressing digital offenses and integrating digital evidence, the BNS provides a robust framework for prosecuting cybercriminals. However, challenges remain in terms of gender neutrality, technological adaptation, jurisdiction, and enforcement. Continuous legislative vigilance, judicial interpretation, and capacity building are essential to ensure that India’s criminal justice system remains responsive to the evolving landscape of cybercrime.</w:t>
      </w:r>
    </w:p>
    <w:p w14:paraId="6F2B5E79" w14:textId="77777777" w:rsidR="00A9325E" w:rsidRPr="00A9325E" w:rsidRDefault="00A9325E"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r w:rsidRPr="00A9325E">
        <w:rPr>
          <w:rFonts w:ascii="Segoe UI" w:eastAsia="Times New Roman" w:hAnsi="Segoe UI" w:cs="Segoe UI"/>
          <w:kern w:val="0"/>
          <w:lang w:eastAsia="en-GB"/>
          <w14:ligatures w14:val="none"/>
        </w:rPr>
        <w:t>The future of cybercrime law in India will depend on the effective implementation of the BNS, its harmonious coexistence with the IT Act, and the judiciary’s ability to interpret its provisions in light of technological advancements and constitutional values. Only through a dynamic and adaptive legal framework can India safeguard its citizens in the digital age.</w:t>
      </w:r>
    </w:p>
    <w:p w14:paraId="582BD1AA" w14:textId="58A93B3F" w:rsidR="00E51595" w:rsidRPr="00A9325E" w:rsidRDefault="00E51595" w:rsidP="00A9325E">
      <w:pPr>
        <w:pBdr>
          <w:top w:val="single" w:sz="2" w:space="0" w:color="E5E7EB"/>
          <w:left w:val="single" w:sz="2" w:space="0" w:color="E5E7EB"/>
          <w:bottom w:val="single" w:sz="2" w:space="0" w:color="E5E7EB"/>
          <w:right w:val="single" w:sz="2" w:space="0" w:color="E5E7EB"/>
        </w:pBdr>
        <w:jc w:val="both"/>
        <w:rPr>
          <w:rFonts w:ascii="Segoe UI" w:eastAsia="Times New Roman" w:hAnsi="Segoe UI" w:cs="Segoe UI"/>
          <w:kern w:val="0"/>
          <w:lang w:eastAsia="en-GB"/>
          <w14:ligatures w14:val="none"/>
        </w:rPr>
      </w:pPr>
    </w:p>
    <w:sectPr w:rsidR="00E51595" w:rsidRPr="00A93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k-grotesk)">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05A1A"/>
    <w:multiLevelType w:val="multilevel"/>
    <w:tmpl w:val="C686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26E72"/>
    <w:multiLevelType w:val="multilevel"/>
    <w:tmpl w:val="D09C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2413A0"/>
    <w:multiLevelType w:val="multilevel"/>
    <w:tmpl w:val="33A0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459644">
    <w:abstractNumId w:val="2"/>
  </w:num>
  <w:num w:numId="2" w16cid:durableId="298389315">
    <w:abstractNumId w:val="1"/>
  </w:num>
  <w:num w:numId="3" w16cid:durableId="1139304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5E"/>
    <w:rsid w:val="00177751"/>
    <w:rsid w:val="008E2E8A"/>
    <w:rsid w:val="00A9325E"/>
    <w:rsid w:val="00E51595"/>
    <w:rsid w:val="00FB4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D1D708"/>
  <w15:chartTrackingRefBased/>
  <w15:docId w15:val="{FD1CB4A0-7DFE-A947-A7D2-7F2481A7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2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32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32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32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32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32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2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2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2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2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32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32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32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32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32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2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2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25E"/>
    <w:rPr>
      <w:rFonts w:eastAsiaTheme="majorEastAsia" w:cstheme="majorBidi"/>
      <w:color w:val="272727" w:themeColor="text1" w:themeTint="D8"/>
    </w:rPr>
  </w:style>
  <w:style w:type="paragraph" w:styleId="Title">
    <w:name w:val="Title"/>
    <w:basedOn w:val="Normal"/>
    <w:next w:val="Normal"/>
    <w:link w:val="TitleChar"/>
    <w:uiPriority w:val="10"/>
    <w:qFormat/>
    <w:rsid w:val="00A932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2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2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2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2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325E"/>
    <w:rPr>
      <w:i/>
      <w:iCs/>
      <w:color w:val="404040" w:themeColor="text1" w:themeTint="BF"/>
    </w:rPr>
  </w:style>
  <w:style w:type="paragraph" w:styleId="ListParagraph">
    <w:name w:val="List Paragraph"/>
    <w:basedOn w:val="Normal"/>
    <w:uiPriority w:val="34"/>
    <w:qFormat/>
    <w:rsid w:val="00A9325E"/>
    <w:pPr>
      <w:ind w:left="720"/>
      <w:contextualSpacing/>
    </w:pPr>
  </w:style>
  <w:style w:type="character" w:styleId="IntenseEmphasis">
    <w:name w:val="Intense Emphasis"/>
    <w:basedOn w:val="DefaultParagraphFont"/>
    <w:uiPriority w:val="21"/>
    <w:qFormat/>
    <w:rsid w:val="00A9325E"/>
    <w:rPr>
      <w:i/>
      <w:iCs/>
      <w:color w:val="2F5496" w:themeColor="accent1" w:themeShade="BF"/>
    </w:rPr>
  </w:style>
  <w:style w:type="paragraph" w:styleId="IntenseQuote">
    <w:name w:val="Intense Quote"/>
    <w:basedOn w:val="Normal"/>
    <w:next w:val="Normal"/>
    <w:link w:val="IntenseQuoteChar"/>
    <w:uiPriority w:val="30"/>
    <w:qFormat/>
    <w:rsid w:val="00A932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325E"/>
    <w:rPr>
      <w:i/>
      <w:iCs/>
      <w:color w:val="2F5496" w:themeColor="accent1" w:themeShade="BF"/>
    </w:rPr>
  </w:style>
  <w:style w:type="character" w:styleId="IntenseReference">
    <w:name w:val="Intense Reference"/>
    <w:basedOn w:val="DefaultParagraphFont"/>
    <w:uiPriority w:val="32"/>
    <w:qFormat/>
    <w:rsid w:val="00A9325E"/>
    <w:rPr>
      <w:b/>
      <w:bCs/>
      <w:smallCaps/>
      <w:color w:val="2F5496" w:themeColor="accent1" w:themeShade="BF"/>
      <w:spacing w:val="5"/>
    </w:rPr>
  </w:style>
  <w:style w:type="paragraph" w:customStyle="1" w:styleId="my-0">
    <w:name w:val="my-0"/>
    <w:basedOn w:val="Normal"/>
    <w:rsid w:val="00A9325E"/>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whitespace-nowrap">
    <w:name w:val="whitespace-nowrap"/>
    <w:basedOn w:val="DefaultParagraphFont"/>
    <w:rsid w:val="00A9325E"/>
  </w:style>
  <w:style w:type="character" w:customStyle="1" w:styleId="apple-converted-space">
    <w:name w:val="apple-converted-space"/>
    <w:basedOn w:val="DefaultParagraphFont"/>
    <w:rsid w:val="00A9325E"/>
  </w:style>
  <w:style w:type="character" w:styleId="Strong">
    <w:name w:val="Strong"/>
    <w:basedOn w:val="DefaultParagraphFont"/>
    <w:uiPriority w:val="22"/>
    <w:qFormat/>
    <w:rsid w:val="00A9325E"/>
    <w:rPr>
      <w:b/>
      <w:bCs/>
    </w:rPr>
  </w:style>
  <w:style w:type="character" w:styleId="Emphasis">
    <w:name w:val="Emphasis"/>
    <w:basedOn w:val="DefaultParagraphFont"/>
    <w:uiPriority w:val="20"/>
    <w:qFormat/>
    <w:rsid w:val="00A932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188697">
      <w:bodyDiv w:val="1"/>
      <w:marLeft w:val="0"/>
      <w:marRight w:val="0"/>
      <w:marTop w:val="0"/>
      <w:marBottom w:val="0"/>
      <w:divBdr>
        <w:top w:val="none" w:sz="0" w:space="0" w:color="auto"/>
        <w:left w:val="none" w:sz="0" w:space="0" w:color="auto"/>
        <w:bottom w:val="none" w:sz="0" w:space="0" w:color="auto"/>
        <w:right w:val="none" w:sz="0" w:space="0" w:color="auto"/>
      </w:divBdr>
    </w:div>
    <w:div w:id="210557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YADAV</dc:creator>
  <cp:keywords/>
  <dc:description/>
  <cp:lastModifiedBy>ROHIT YADAV</cp:lastModifiedBy>
  <cp:revision>1</cp:revision>
  <dcterms:created xsi:type="dcterms:W3CDTF">2025-05-01T18:02:00Z</dcterms:created>
  <dcterms:modified xsi:type="dcterms:W3CDTF">2025-05-01T18:12:00Z</dcterms:modified>
</cp:coreProperties>
</file>