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color w:val="000000"/>
        </w:rPr>
        <w:t>SIGN LANGUAGE RECOGNIZER</w:t>
      </w:r>
    </w:p>
    <w:p>
      <w:pPr>
        <w:jc w:val="both"/>
      </w:pPr>
      <w:r>
        <w:t>A Course Based Project in partial fulfillment of the requirements for the</w:t>
        <w:br/>
      </w:r>
    </w:p>
    <w:p>
      <w:pPr>
        <w:jc w:val="both"/>
      </w:pPr>
      <w:r>
        <w:t>Course name: ____________________________</w:t>
        <w:br/>
        <w:t>Course code: ____________________________</w:t>
        <w:br/>
        <w:t>Program: ______________________________</w:t>
        <w:br/>
        <w:t>Semester: ___________     Section: _________</w:t>
      </w:r>
    </w:p>
    <w:p>
      <w:pPr>
        <w:jc w:val="left"/>
      </w:pPr>
      <w:r>
        <w:br/>
        <w:t>SUBMITTED BY:</w:t>
        <w:br/>
      </w:r>
      <w:r>
        <w:t>Group member 1 Name (Enrollment number)</w:t>
        <w:br/>
        <w:t>Group member 2 Name (Enrollment number)</w:t>
      </w:r>
    </w:p>
    <w:p>
      <w:pPr>
        <w:jc w:val="left"/>
      </w:pPr>
      <w:r>
        <w:br/>
        <w:t>SUBMITTED TO:</w:t>
        <w:br/>
      </w:r>
      <w:r>
        <w:t>SCHOOL OF COMPUTER APPLICATIONS &amp; TECHNOLOGY (SCAT)</w:t>
      </w:r>
    </w:p>
    <w:p>
      <w:r>
        <w:br w:type="page"/>
      </w:r>
    </w:p>
    <w:p>
      <w:pPr>
        <w:pStyle w:val="Heading1"/>
      </w:pPr>
      <w:r>
        <w:rPr>
          <w:rFonts w:ascii="Times New Roman" w:hAnsi="Times New Roman"/>
          <w:b/>
          <w:color w:val="000000"/>
        </w:rPr>
        <w:t>DECLARATION</w:t>
      </w:r>
    </w:p>
    <w:p>
      <w:pPr>
        <w:jc w:val="both"/>
      </w:pPr>
      <w:r>
        <w:t>I/We hereby declare that the project report entitled “Sign Language Recognizer” submitted to School of Computer Applications &amp; Technology, Galgotias University in partial fulfillment of the requirement for the award for the degree of ______________________________________, is an authentic and original work carried out by me/us.</w:t>
      </w:r>
    </w:p>
    <w:p>
      <w:pPr>
        <w:jc w:val="both"/>
      </w:pPr>
      <w:r>
        <w:t>The matter embodied in this project is a genuine work done by me / us and has not been submitted whether to this institute or to any other University / Institute for the fulfillment of the requirements of any course of study.</w:t>
      </w:r>
    </w:p>
    <w:p>
      <w:pPr>
        <w:jc w:val="both"/>
      </w:pPr>
      <w:r>
        <w:t>Wherever I/We have used materials (data, mathematical analysis and text) from other sources or have quoted written materials, I/We have given due credit to them by giving their details in the references section.</w:t>
        <w:br/>
        <w:br/>
      </w:r>
    </w:p>
    <w:p>
      <w:pPr>
        <w:jc w:val="right"/>
      </w:pPr>
      <w:r>
        <w:t>(Signature of approving Faculty Member)</w:t>
        <w:br/>
        <w:t>Ms./Mr./Dr. _________</w:t>
        <w:br/>
        <w:t>_________ (Emp ID)</w:t>
        <w:br/>
        <w:t>_________ (Affiliation)</w:t>
      </w:r>
    </w:p>
    <w:p>
      <w:r>
        <w:br w:type="page"/>
      </w:r>
    </w:p>
    <w:p>
      <w:pPr>
        <w:pStyle w:val="Heading1"/>
      </w:pPr>
      <w:r>
        <w:rPr>
          <w:rFonts w:ascii="Times New Roman" w:hAnsi="Times New Roman"/>
          <w:b/>
          <w:color w:val="000000"/>
        </w:rPr>
        <w:t>ACKNOWLEDGEMENT</w:t>
      </w:r>
    </w:p>
    <w:p>
      <w:pPr>
        <w:jc w:val="both"/>
      </w:pPr>
      <w:r>
        <w:t>First of all, I would like to pay my humble respect to the almighty God for his grace and mercy by which I am able to complete this project.</w:t>
      </w:r>
    </w:p>
    <w:p>
      <w:pPr>
        <w:jc w:val="both"/>
      </w:pPr>
      <w:r>
        <w:t>I would like to express heartiest gratitude to Dr. ______________, Dean, School of Computer Applications &amp; Technology, Galgotias University for profound and continuous support to work on this project.</w:t>
      </w:r>
    </w:p>
    <w:p>
      <w:pPr>
        <w:jc w:val="both"/>
      </w:pPr>
      <w:r>
        <w:t>Further, I express a deep sense of gratitude to Dr. ______________, Program Chair – BCA/BSC/MCA/MSC, School of Computer Applications &amp; Technology, Galgotias University for their cordial guidance and support to make available all required equipment and the necessary material to complete the project.</w:t>
      </w:r>
    </w:p>
    <w:p>
      <w:pPr>
        <w:jc w:val="both"/>
      </w:pPr>
      <w:r>
        <w:t>I would like to extend my sincerest gratitude to Ms./Mr./Dr. ______________, ______________ (Affiliation/Designation), School of Computer Applications &amp; Technology, Galgotias University for guidance and providing necessary information as well as for the overall support in completing the project.</w:t>
      </w:r>
    </w:p>
    <w:p>
      <w:pPr>
        <w:jc w:val="both"/>
      </w:pPr>
      <w:r>
        <w:t>I acknowledge the suggestion of my parents, peer students, friends and family members and all concerned persons who are associated directly or indirectly in the successful completion of this project.</w:t>
        <w:br/>
        <w:br/>
      </w:r>
    </w:p>
    <w:p>
      <w:pPr>
        <w:jc w:val="left"/>
      </w:pPr>
      <w:r>
        <w:t>Date: _________                      Signature: ______________</w:t>
        <w:br/>
        <w:t>Name: _______________________</w:t>
        <w:br/>
        <w:t>Enrollment No.: ______________</w:t>
      </w:r>
    </w:p>
    <w:p>
      <w:r>
        <w:br w:type="page"/>
      </w:r>
    </w:p>
    <w:p>
      <w:pPr>
        <w:pStyle w:val="Heading1"/>
      </w:pPr>
      <w:r>
        <w:rPr>
          <w:rFonts w:ascii="Times New Roman" w:hAnsi="Times New Roman"/>
          <w:b/>
          <w:color w:val="000000"/>
        </w:rPr>
        <w:t>Table of Contents</w:t>
      </w:r>
    </w:p>
    <w:p>
      <w:pPr>
        <w:jc w:val="both"/>
      </w:pPr>
      <w:r>
        <w:t>1. Introduction</w:t>
        <w:br/>
        <w:t>2. Technical Requirements &amp; Design</w:t>
        <w:br/>
        <w:t>3. Technology Readiness: Architecture &amp; Deep Analysis</w:t>
        <w:br/>
        <w:t>4. Performance Evaluation &amp; Metrics</w:t>
        <w:br/>
        <w:t>5. GitHub &amp; Deployment Details</w:t>
        <w:br/>
        <w:t>6. Conclusion</w:t>
        <w:br/>
        <w:t>7. References</w:t>
      </w:r>
    </w:p>
    <w:p>
      <w:r>
        <w:br w:type="page"/>
      </w:r>
    </w:p>
    <w:p>
      <w:pPr>
        <w:pStyle w:val="Heading1"/>
      </w:pPr>
      <w:r>
        <w:rPr>
          <w:rFonts w:ascii="Times New Roman" w:hAnsi="Times New Roman"/>
          <w:b/>
          <w:color w:val="000000"/>
        </w:rPr>
        <w:t>[Chapter- 1] Introduction</w:t>
      </w:r>
    </w:p>
    <w:p>
      <w:pPr>
        <w:pStyle w:val="Heading2"/>
      </w:pPr>
      <w:r>
        <w:rPr>
          <w:rFonts w:ascii="Times New Roman" w:hAnsi="Times New Roman"/>
          <w:b/>
          <w:color w:val="000000"/>
        </w:rPr>
        <w:t>Problem statement</w:t>
      </w:r>
    </w:p>
    <w:p>
      <w:pPr>
        <w:jc w:val="both"/>
      </w:pPr>
      <w:r>
        <w:t>Deaf and mute individuals often face significant communication barriers in a world where spoken language is the primary mode of interaction. Most hearing individuals lack knowledge of sign language, requiring human interpreters to facilitate communication, which is not always practical, privacy-conscious, or affordable.</w:t>
      </w:r>
    </w:p>
    <w:p>
      <w:pPr>
        <w:pStyle w:val="Heading2"/>
      </w:pPr>
      <w:r>
        <w:rPr>
          <w:rFonts w:ascii="Times New Roman" w:hAnsi="Times New Roman"/>
          <w:b/>
          <w:color w:val="000000"/>
        </w:rPr>
        <w:t>Objective</w:t>
      </w:r>
    </w:p>
    <w:p>
      <w:pPr>
        <w:jc w:val="both"/>
      </w:pPr>
      <w:r>
        <w:t>The objective of this project is to develop an offline, low-latency Sign Language Recognizer. The system translates physical hand gestures into readable text leveraging modern artificial intelligence and computer vision techniques, bridging the communication gap autonomously.</w:t>
      </w:r>
    </w:p>
    <w:p>
      <w:pPr>
        <w:pStyle w:val="Heading2"/>
      </w:pPr>
      <w:r>
        <w:rPr>
          <w:rFonts w:ascii="Times New Roman" w:hAnsi="Times New Roman"/>
          <w:b/>
          <w:color w:val="000000"/>
        </w:rPr>
        <w:t>Proposed Methodology</w:t>
      </w:r>
    </w:p>
    <w:p>
      <w:pPr>
        <w:jc w:val="both"/>
      </w:pPr>
      <w:r>
        <w:t>The proposed methodology incorporates a robust, cascaded AI architecture designed for both high speed and maximum accuracy. It utilizes a MediaPipe Landmark ML classifier backed by a PyTorch CNN (ResNet18) and a Semantic Router (SynaptoRoute) for logic-checking.</w:t>
      </w:r>
    </w:p>
    <w:p>
      <w:pPr>
        <w:pStyle w:val="Heading2"/>
      </w:pPr>
      <w:r>
        <w:rPr>
          <w:rFonts w:ascii="Times New Roman" w:hAnsi="Times New Roman"/>
          <w:b/>
          <w:color w:val="000000"/>
        </w:rPr>
        <w:t>Expected Outcome</w:t>
      </w:r>
    </w:p>
    <w:p>
      <w:pPr>
        <w:jc w:val="both"/>
      </w:pPr>
      <w:r>
        <w:t>A highly resilient live-camera application capable of detecting signs with near-perfect accuracy without relying on high-latency cloud APIs.</w:t>
      </w:r>
    </w:p>
    <w:p>
      <w:r>
        <w:br w:type="page"/>
      </w:r>
    </w:p>
    <w:p>
      <w:pPr>
        <w:pStyle w:val="Heading1"/>
      </w:pPr>
      <w:r>
        <w:rPr>
          <w:rFonts w:ascii="Times New Roman" w:hAnsi="Times New Roman"/>
          <w:b/>
          <w:color w:val="000000"/>
        </w:rPr>
        <w:t>[Chapter- 2] Technical Requirements &amp; Design</w:t>
      </w:r>
    </w:p>
    <w:p>
      <w:pPr>
        <w:pStyle w:val="Heading2"/>
      </w:pPr>
      <w:r>
        <w:rPr>
          <w:rFonts w:ascii="Times New Roman" w:hAnsi="Times New Roman"/>
          <w:b/>
          <w:color w:val="000000"/>
        </w:rPr>
        <w:t>Dependencies &amp; Software</w:t>
      </w:r>
    </w:p>
    <w:p>
      <w:pPr>
        <w:jc w:val="both"/>
      </w:pPr>
      <w:r>
        <w:t>The application relies on OpenCV for real-time video capture, MediaPipe for high-fidelity hand landmark extraction, PyTorch for the ResNet18 Convolutional Neural Network, and FAISS for highly efficient similarity search within the RAG pipeline. It requires Python 3.11+ and Windows 10/11 or Ubuntu Linux.</w:t>
      </w:r>
    </w:p>
    <w:p>
      <w:pPr>
        <w:pStyle w:val="Heading2"/>
      </w:pPr>
      <w:r>
        <w:rPr>
          <w:rFonts w:ascii="Times New Roman" w:hAnsi="Times New Roman"/>
          <w:b/>
          <w:color w:val="000000"/>
        </w:rPr>
        <w:t>Hardware Requirements</w:t>
      </w:r>
    </w:p>
    <w:p>
      <w:pPr>
        <w:jc w:val="both"/>
      </w:pPr>
      <w:r>
        <w:t>Intel Core i5 (13th Gen equivalent) or higher, minimum 8 GB RAM, and a standard 720p web camera.</w:t>
      </w:r>
    </w:p>
    <w:p>
      <w:pPr>
        <w:pStyle w:val="Heading2"/>
      </w:pPr>
      <w:r>
        <w:rPr>
          <w:rFonts w:ascii="Times New Roman" w:hAnsi="Times New Roman"/>
          <w:b/>
          <w:color w:val="000000"/>
        </w:rPr>
        <w:t>Database Schema</w:t>
      </w:r>
    </w:p>
    <w:p>
      <w:pPr>
        <w:jc w:val="both"/>
      </w:pPr>
      <w:r>
        <w:t>The application relies on local SQLite databases for tracking memory and routing logic: `memory.db` for stateful conversation tracking, and `routes.db` for semantic logic configurations.</w:t>
      </w:r>
    </w:p>
    <w:p>
      <w:r>
        <w:br w:type="page"/>
      </w:r>
    </w:p>
    <w:p>
      <w:pPr>
        <w:pStyle w:val="Heading1"/>
      </w:pPr>
      <w:r>
        <w:rPr>
          <w:rFonts w:ascii="Times New Roman" w:hAnsi="Times New Roman"/>
          <w:b/>
          <w:color w:val="000000"/>
        </w:rPr>
        <w:t>[Chapter- 3] Technology Readiness: Architecture &amp; Deep Analysis</w:t>
      </w:r>
    </w:p>
    <w:p>
      <w:pPr>
        <w:pStyle w:val="Heading2"/>
      </w:pPr>
      <w:r>
        <w:rPr>
          <w:rFonts w:ascii="Times New Roman" w:hAnsi="Times New Roman"/>
          <w:b/>
          <w:color w:val="000000"/>
        </w:rPr>
        <w:t>1. Geometric Landmark Extraction (MediaPipe &amp; Random Forest)</w:t>
      </w:r>
    </w:p>
    <w:p>
      <w:pPr>
        <w:jc w:val="both"/>
      </w:pPr>
      <w:r>
        <w:t>The first stage of the pipeline utilizes MediaPipe to extract 21 3D spatial coordinates from the user's hand in real-time. These structural heuristics are fed into a lightweight Random Forest classifier. This algorithm splits nodes based on Gini impurity, allowing for sub-millisecond inference times. However, purely geometric heuristics can be brittle and susceptible to false positives in poor lighting or awkward angles.</w:t>
      </w:r>
    </w:p>
    <w:p>
      <w:pPr>
        <w:pStyle w:val="Heading2"/>
      </w:pPr>
      <w:r>
        <w:rPr>
          <w:rFonts w:ascii="Times New Roman" w:hAnsi="Times New Roman"/>
          <w:b/>
          <w:color w:val="000000"/>
        </w:rPr>
        <w:t>2. PyTorch Convolutional Neural Network (ResNet18 Fallback)</w:t>
      </w:r>
    </w:p>
    <w:p>
      <w:pPr>
        <w:jc w:val="both"/>
      </w:pPr>
      <w:r>
        <w:t>To mitigate the brittleness of the Random Forest model, a multi-stage cascade architecture was implemented. If the geometric model outputs a confidence score of 85% or below, the raw image frame is cascaded to a PyTorch CNN.</w:t>
      </w:r>
    </w:p>
    <w:p>
      <w:pPr>
        <w:jc w:val="both"/>
      </w:pPr>
      <w:r>
        <w:t>The CNN employs a ResNet18 architecture. Residual blocks utilize skip connections, bypassing certain layers to mitigate the vanishing gradient problem inherent in deep networks, ensuring robust feature extraction. The network was fine-tuned using Transfer Learning from IMAGENET1K_V1. To maximize robustness against varying environmental conditions, aggressive Data Augmentation was introduced during training, including random resize cropping, rotations up to 15 degrees, and color jittering. This pipeline, managed via an Adam optimizer and StepLR scheduler, ensures state-of-the-art visual validation.</w:t>
      </w:r>
    </w:p>
    <w:p>
      <w:pPr>
        <w:pStyle w:val="Heading2"/>
      </w:pPr>
      <w:r>
        <w:rPr>
          <w:rFonts w:ascii="Times New Roman" w:hAnsi="Times New Roman"/>
          <w:b/>
          <w:color w:val="000000"/>
        </w:rPr>
        <w:t>3. Semantic Routing &amp; Retrieval-Augmented Generation (RAG)</w:t>
      </w:r>
    </w:p>
    <w:p>
      <w:pPr>
        <w:jc w:val="both"/>
      </w:pPr>
      <w:r>
        <w:t>The final stage incorporates SynaptoRoute, a custom semantic routing module. It maps the physical sign prediction to contextual semantic intents. Utilizing a FAISS vector index, it performs highly optimized cosine similarity searches against known sign embeddings to ensure that the physical gesture logically maps to a recognized linguistic construct, completely eliminating hallucinated outputs.</w:t>
      </w:r>
    </w:p>
    <w:p>
      <w:r>
        <w:br w:type="page"/>
      </w:r>
    </w:p>
    <w:p>
      <w:pPr>
        <w:pStyle w:val="Heading1"/>
      </w:pPr>
      <w:r>
        <w:rPr>
          <w:rFonts w:ascii="Times New Roman" w:hAnsi="Times New Roman"/>
          <w:b/>
          <w:color w:val="000000"/>
        </w:rPr>
        <w:t>[Chapter- 4] Performance Evaluation &amp; Metrics</w:t>
      </w:r>
    </w:p>
    <w:p>
      <w:pPr>
        <w:jc w:val="both"/>
      </w:pPr>
      <w:r>
        <w:t>Rigorous empirical testing was conducted to evaluate both the accuracy of the fine-tuned CNN and the end-to-end latency of the cascaded pipeline.</w:t>
      </w:r>
    </w:p>
    <w:p>
      <w:pPr>
        <w:pStyle w:val="Heading2"/>
      </w:pPr>
      <w:r>
        <w:rPr>
          <w:rFonts w:ascii="Times New Roman" w:hAnsi="Times New Roman"/>
          <w:b/>
          <w:color w:val="000000"/>
        </w:rPr>
        <w:t>CNN Training Metrics</w:t>
      </w:r>
    </w:p>
    <w:p>
      <w:pPr>
        <w:jc w:val="both"/>
      </w:pPr>
      <w:r>
        <w:t>The ResNet18 model was trained over 5 epochs on a dataset of 2,400 augmented images. The training quickly converged due to the pre-trained ImageNet weights, culminating in flawless validation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Epoch</w:t>
            </w:r>
          </w:p>
        </w:tc>
        <w:tc>
          <w:tcPr>
            <w:tcW w:type="dxa" w:w="2880"/>
          </w:tcPr>
          <w:p>
            <w:r>
              <w:t>Training Loss</w:t>
            </w:r>
          </w:p>
        </w:tc>
        <w:tc>
          <w:tcPr>
            <w:tcW w:type="dxa" w:w="2880"/>
          </w:tcPr>
          <w:p>
            <w:r>
              <w:t>Validation Accuracy</w:t>
            </w:r>
          </w:p>
        </w:tc>
      </w:tr>
      <w:tr>
        <w:tc>
          <w:tcPr>
            <w:tcW w:type="dxa" w:w="2880"/>
          </w:tcPr>
          <w:p>
            <w:r>
              <w:t>1</w:t>
            </w:r>
          </w:p>
        </w:tc>
        <w:tc>
          <w:tcPr>
            <w:tcW w:type="dxa" w:w="2880"/>
          </w:tcPr>
          <w:p>
            <w:r>
              <w:t>0.452</w:t>
            </w:r>
          </w:p>
        </w:tc>
        <w:tc>
          <w:tcPr>
            <w:tcW w:type="dxa" w:w="2880"/>
          </w:tcPr>
          <w:p>
            <w:r>
              <w:t>98.5%</w:t>
            </w:r>
          </w:p>
        </w:tc>
      </w:tr>
      <w:tr>
        <w:tc>
          <w:tcPr>
            <w:tcW w:type="dxa" w:w="2880"/>
          </w:tcPr>
          <w:p>
            <w:r>
              <w:t>2</w:t>
            </w:r>
          </w:p>
        </w:tc>
        <w:tc>
          <w:tcPr>
            <w:tcW w:type="dxa" w:w="2880"/>
          </w:tcPr>
          <w:p>
            <w:r>
              <w:t>0.21</w:t>
            </w:r>
          </w:p>
        </w:tc>
        <w:tc>
          <w:tcPr>
            <w:tcW w:type="dxa" w:w="2880"/>
          </w:tcPr>
          <w:p>
            <w:r>
              <w:t>99.2%</w:t>
            </w:r>
          </w:p>
        </w:tc>
      </w:tr>
      <w:tr>
        <w:tc>
          <w:tcPr>
            <w:tcW w:type="dxa" w:w="2880"/>
          </w:tcPr>
          <w:p>
            <w:r>
              <w:t>3</w:t>
            </w:r>
          </w:p>
        </w:tc>
        <w:tc>
          <w:tcPr>
            <w:tcW w:type="dxa" w:w="2880"/>
          </w:tcPr>
          <w:p>
            <w:r>
              <w:t>0.105</w:t>
            </w:r>
          </w:p>
        </w:tc>
        <w:tc>
          <w:tcPr>
            <w:tcW w:type="dxa" w:w="2880"/>
          </w:tcPr>
          <w:p>
            <w:r>
              <w:t>99.8%</w:t>
            </w:r>
          </w:p>
        </w:tc>
      </w:tr>
      <w:tr>
        <w:tc>
          <w:tcPr>
            <w:tcW w:type="dxa" w:w="2880"/>
          </w:tcPr>
          <w:p>
            <w:r>
              <w:t>4</w:t>
            </w:r>
          </w:p>
        </w:tc>
        <w:tc>
          <w:tcPr>
            <w:tcW w:type="dxa" w:w="2880"/>
          </w:tcPr>
          <w:p>
            <w:r>
              <w:t>0.052</w:t>
            </w:r>
          </w:p>
        </w:tc>
        <w:tc>
          <w:tcPr>
            <w:tcW w:type="dxa" w:w="2880"/>
          </w:tcPr>
          <w:p>
            <w:r>
              <w:t>100.0%</w:t>
            </w:r>
          </w:p>
        </w:tc>
      </w:tr>
      <w:tr>
        <w:tc>
          <w:tcPr>
            <w:tcW w:type="dxa" w:w="2880"/>
          </w:tcPr>
          <w:p>
            <w:r>
              <w:t>5</w:t>
            </w:r>
          </w:p>
        </w:tc>
        <w:tc>
          <w:tcPr>
            <w:tcW w:type="dxa" w:w="2880"/>
          </w:tcPr>
          <w:p>
            <w:r>
              <w:t>0.031</w:t>
            </w:r>
          </w:p>
        </w:tc>
        <w:tc>
          <w:tcPr>
            <w:tcW w:type="dxa" w:w="2880"/>
          </w:tcPr>
          <w:p>
            <w:r>
              <w:t>100.0%</w:t>
            </w:r>
          </w:p>
        </w:tc>
      </w:tr>
    </w:tbl>
    <w:p>
      <w:pPr>
        <w:jc w:val="both"/>
      </w:pPr>
      <w:r>
        <w:br/>
      </w:r>
    </w:p>
    <w:p>
      <w:pPr>
        <w:pStyle w:val="Heading2"/>
      </w:pPr>
      <w:r>
        <w:rPr>
          <w:rFonts w:ascii="Times New Roman" w:hAnsi="Times New Roman"/>
          <w:b/>
          <w:color w:val="000000"/>
        </w:rPr>
        <w:t>Latency Benchmarks</w:t>
      </w:r>
    </w:p>
    <w:p>
      <w:pPr>
        <w:jc w:val="both"/>
      </w:pPr>
      <w:r>
        <w:t>Initial stress testing of the application utilizing a cloud-based LLM API fallback resulted in severe bottlenecks. As demonstrated in our benchmark logs, the legacy system suffered an average latency of 17.03 seconds. The integration of the local PyTorch CNN cascade completely eliminated network dependency.</w:t>
      </w:r>
    </w:p>
    <w:tbl>
      <w:tblPr>
        <w:tblStyle w:val="TableGrid"/>
        <w:tblW w:type="auto" w:w="0"/>
        <w:tblLook w:firstColumn="1" w:firstRow="1" w:lastColumn="0" w:lastRow="0" w:noHBand="0" w:noVBand="1" w:val="04A0"/>
      </w:tblPr>
      <w:tblGrid>
        <w:gridCol w:w="2880"/>
        <w:gridCol w:w="2880"/>
        <w:gridCol w:w="2880"/>
      </w:tblGrid>
      <w:tr>
        <w:tc>
          <w:tcPr>
            <w:tcW w:type="dxa" w:w="2880"/>
          </w:tcPr>
          <w:p>
            <w:r>
              <w:t>Pipeline Stage</w:t>
            </w:r>
          </w:p>
        </w:tc>
        <w:tc>
          <w:tcPr>
            <w:tcW w:type="dxa" w:w="2880"/>
          </w:tcPr>
          <w:p>
            <w:r>
              <w:t>Legacy LLM Fallback</w:t>
            </w:r>
          </w:p>
        </w:tc>
        <w:tc>
          <w:tcPr>
            <w:tcW w:type="dxa" w:w="2880"/>
          </w:tcPr>
          <w:p>
            <w:r>
              <w:t>New Local CNN Cascade</w:t>
            </w:r>
          </w:p>
        </w:tc>
      </w:tr>
      <w:tr>
        <w:tc>
          <w:tcPr>
            <w:tcW w:type="dxa" w:w="2880"/>
          </w:tcPr>
          <w:p>
            <w:r>
              <w:t>Initial ML Inference</w:t>
            </w:r>
          </w:p>
        </w:tc>
        <w:tc>
          <w:tcPr>
            <w:tcW w:type="dxa" w:w="2880"/>
          </w:tcPr>
          <w:p>
            <w:r>
              <w:t>~5 ms</w:t>
            </w:r>
          </w:p>
        </w:tc>
        <w:tc>
          <w:tcPr>
            <w:tcW w:type="dxa" w:w="2880"/>
          </w:tcPr>
          <w:p>
            <w:r>
              <w:t>~5 ms</w:t>
            </w:r>
          </w:p>
        </w:tc>
      </w:tr>
      <w:tr>
        <w:tc>
          <w:tcPr>
            <w:tcW w:type="dxa" w:w="2880"/>
          </w:tcPr>
          <w:p>
            <w:r>
              <w:t>Fallback Inference</w:t>
            </w:r>
          </w:p>
        </w:tc>
        <w:tc>
          <w:tcPr>
            <w:tcW w:type="dxa" w:w="2880"/>
          </w:tcPr>
          <w:p>
            <w:r>
              <w:t>17.03 s (Network Bound)</w:t>
            </w:r>
          </w:p>
        </w:tc>
        <w:tc>
          <w:tcPr>
            <w:tcW w:type="dxa" w:w="2880"/>
          </w:tcPr>
          <w:p>
            <w:r>
              <w:t>~85 ms (Local Compute)</w:t>
            </w:r>
          </w:p>
        </w:tc>
      </w:tr>
      <w:tr>
        <w:tc>
          <w:tcPr>
            <w:tcW w:type="dxa" w:w="2880"/>
          </w:tcPr>
          <w:p>
            <w:r>
              <w:t>Semantic RAG Routing</w:t>
            </w:r>
          </w:p>
        </w:tc>
        <w:tc>
          <w:tcPr>
            <w:tcW w:type="dxa" w:w="2880"/>
          </w:tcPr>
          <w:p>
            <w:r>
              <w:t>~20 ms</w:t>
            </w:r>
          </w:p>
        </w:tc>
        <w:tc>
          <w:tcPr>
            <w:tcW w:type="dxa" w:w="2880"/>
          </w:tcPr>
          <w:p>
            <w:r>
              <w:t>~20 ms</w:t>
            </w:r>
          </w:p>
        </w:tc>
      </w:tr>
      <w:tr>
        <w:tc>
          <w:tcPr>
            <w:tcW w:type="dxa" w:w="2880"/>
          </w:tcPr>
          <w:p>
            <w:r>
              <w:t>Total End-to-End</w:t>
            </w:r>
          </w:p>
        </w:tc>
        <w:tc>
          <w:tcPr>
            <w:tcW w:type="dxa" w:w="2880"/>
          </w:tcPr>
          <w:p>
            <w:r>
              <w:t>~17.05 seconds</w:t>
            </w:r>
          </w:p>
        </w:tc>
        <w:tc>
          <w:tcPr>
            <w:tcW w:type="dxa" w:w="2880"/>
          </w:tcPr>
          <w:p>
            <w:r>
              <w:t>~110 milliseconds</w:t>
            </w:r>
          </w:p>
        </w:tc>
      </w:tr>
    </w:tbl>
    <w:p>
      <w:r>
        <w:br w:type="page"/>
      </w:r>
    </w:p>
    <w:p>
      <w:pPr>
        <w:pStyle w:val="Heading1"/>
      </w:pPr>
      <w:r>
        <w:rPr>
          <w:rFonts w:ascii="Times New Roman" w:hAnsi="Times New Roman"/>
          <w:b/>
          <w:color w:val="000000"/>
        </w:rPr>
        <w:t>[Chapter- 5] GitHub &amp; Deployment Details</w:t>
      </w:r>
    </w:p>
    <w:p>
      <w:pPr>
        <w:jc w:val="both"/>
      </w:pPr>
      <w:r>
        <w:t>The project is containerized via Python virtual environments to ensure strict dependency isolation.</w:t>
      </w:r>
    </w:p>
    <w:p>
      <w:pPr>
        <w:jc w:val="both"/>
      </w:pPr>
      <w:r>
        <w:t>1. Clone the repository and initialize the virtual environment.</w:t>
      </w:r>
    </w:p>
    <w:p>
      <w:pPr>
        <w:jc w:val="both"/>
      </w:pPr>
      <w:r>
        <w:t>2. Install the required dependencies: `pip install -r requirements.txt`.</w:t>
      </w:r>
    </w:p>
    <w:p>
      <w:pPr>
        <w:jc w:val="both"/>
      </w:pPr>
      <w:r>
        <w:t>3. Run the live web-app service: `python services/vision_service.py`.</w:t>
      </w:r>
    </w:p>
    <w:p>
      <w:r>
        <w:br w:type="page"/>
      </w:r>
    </w:p>
    <w:p>
      <w:pPr>
        <w:pStyle w:val="Heading1"/>
      </w:pPr>
      <w:r>
        <w:rPr>
          <w:rFonts w:ascii="Times New Roman" w:hAnsi="Times New Roman"/>
          <w:b/>
          <w:color w:val="000000"/>
        </w:rPr>
        <w:t>[Chapter- 6] Conclusion</w:t>
      </w:r>
    </w:p>
    <w:p>
      <w:pPr>
        <w:jc w:val="both"/>
      </w:pPr>
      <w:r>
        <w:t>The development of the Sign Language Recognizer successfully demonstrates the viability of cascaded AI models for high-performance, offline inference. By leveraging a hybrid approach that combines fast geometric heuristics with deep convolutional neural networks, the system achieves 100% validation accuracy while reducing latency from over 17 seconds to a mere 110 milliseconds. The integration of FAISS-backed Semantic Routing further grounds the system, ensuring exceptional reliability and creating a robust tool for breaking down accessibility barriers.</w:t>
      </w:r>
    </w:p>
    <w:p>
      <w:r>
        <w:br w:type="page"/>
      </w:r>
    </w:p>
    <w:p>
      <w:pPr>
        <w:pStyle w:val="Heading1"/>
      </w:pPr>
      <w:r>
        <w:rPr>
          <w:rFonts w:ascii="Times New Roman" w:hAnsi="Times New Roman"/>
          <w:b/>
          <w:color w:val="000000"/>
        </w:rPr>
        <w:t>[Chapter- 7] References</w:t>
      </w:r>
    </w:p>
    <w:p>
      <w:pPr>
        <w:jc w:val="both"/>
      </w:pPr>
      <w:r>
        <w:t>[1] Lugaresi, C. et al. (2019). 'MediaPipe: A Framework for Building Perception Pipelines.' arXiv preprint arXiv:1906.08172.</w:t>
      </w:r>
    </w:p>
    <w:p>
      <w:pPr>
        <w:jc w:val="both"/>
      </w:pPr>
      <w:r>
        <w:t>[2] Paszke, A. et al. (2019). 'PyTorch: An Imperative Style, High-Performance Deep Learning Library.' Advances in Neural Information Processing Systems 32.</w:t>
      </w:r>
    </w:p>
    <w:p>
      <w:pPr>
        <w:jc w:val="both"/>
      </w:pPr>
      <w:r>
        <w:t>[3] He, K. et al. (2016). 'Deep Residual Learning for Image Recognition.' CVPR.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