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E59D" w14:textId="77777777" w:rsidR="00FD2C59" w:rsidRPr="003A7FBE" w:rsidRDefault="00FD2C59" w:rsidP="00996165">
      <w:pPr>
        <w:jc w:val="center"/>
        <w:rPr>
          <w:sz w:val="32"/>
          <w:szCs w:val="32"/>
        </w:rPr>
      </w:pPr>
      <w:r w:rsidRPr="003A7FBE">
        <w:rPr>
          <w:b/>
          <w:bCs/>
          <w:sz w:val="32"/>
          <w:szCs w:val="32"/>
        </w:rPr>
        <w:t>A Microservices-Based Home Energy Tracker for Event-Driven Monitoring, Deduplicated Alerting, and ML-Based Anomaly Detection</w:t>
      </w:r>
    </w:p>
    <w:p w14:paraId="6B819B76" w14:textId="77777777" w:rsidR="00FD2C59" w:rsidRPr="003A7FBE" w:rsidRDefault="00FD2C59" w:rsidP="00996165">
      <w:pPr>
        <w:spacing w:after="0"/>
        <w:jc w:val="center"/>
      </w:pPr>
      <w:r w:rsidRPr="003A7FBE">
        <w:t xml:space="preserve">Rohit Shrivastava¹, Harsh Gupta², Anshika Rai³, </w:t>
      </w:r>
      <w:proofErr w:type="spellStart"/>
      <w:r w:rsidRPr="003A7FBE">
        <w:t>Syamasudha</w:t>
      </w:r>
      <w:proofErr w:type="spellEnd"/>
      <w:r w:rsidRPr="003A7FBE">
        <w:t xml:space="preserve"> Veeragandham⁴</w:t>
      </w:r>
    </w:p>
    <w:p w14:paraId="6635FF91" w14:textId="030DDB3F" w:rsidR="00FD2C59" w:rsidRPr="003A7FBE" w:rsidRDefault="00000000" w:rsidP="00996165">
      <w:pPr>
        <w:spacing w:after="0"/>
        <w:jc w:val="center"/>
      </w:pPr>
      <m:oMath>
        <m:sPre>
          <m:sPrePr>
            <m:ctrlPr>
              <w:rPr>
                <w:rFonts w:ascii="Cambria Math" w:hAnsi="Cambria Math"/>
                <w:i/>
              </w:rPr>
            </m:ctrlPr>
          </m:sPrePr>
          <m:sub>
            <m:r>
              <w:rPr>
                <w:rFonts w:ascii="Cambria Math" w:hAnsi="Cambria Math"/>
              </w:rPr>
              <m:t xml:space="preserve"> </m:t>
            </m:r>
          </m:sub>
          <m:sup>
            <m:r>
              <w:rPr>
                <w:rFonts w:ascii="Cambria Math" w:hAnsi="Cambria Math"/>
              </w:rPr>
              <m:t>1,2,3,4</m:t>
            </m:r>
          </m:sup>
          <m:e>
            <m:r>
              <m:rPr>
                <m:sty m:val="p"/>
              </m:rPr>
              <w:rPr>
                <w:rFonts w:ascii="Cambria Math" w:hAnsi="Cambria Math"/>
              </w:rPr>
              <m:t>School of Computer Science and Engineering</m:t>
            </m:r>
          </m:e>
        </m:sPre>
      </m:oMath>
      <w:r w:rsidR="00FD2C59" w:rsidRPr="003A7FBE">
        <w:t>, Vellore Institute of Technology, Vellore,</w:t>
      </w:r>
    </w:p>
    <w:p w14:paraId="409A47B3" w14:textId="77777777" w:rsidR="00FD2C59" w:rsidRPr="003A7FBE" w:rsidRDefault="00FD2C59" w:rsidP="00996165">
      <w:pPr>
        <w:spacing w:after="0"/>
        <w:jc w:val="center"/>
        <w:rPr>
          <w:sz w:val="28"/>
          <w:szCs w:val="28"/>
        </w:rPr>
      </w:pPr>
      <w:r w:rsidRPr="003A7FBE">
        <w:t>Tamil Nadu, India – 632014</w:t>
      </w:r>
    </w:p>
    <w:p w14:paraId="79BD78B0" w14:textId="77777777" w:rsidR="00FD2C59" w:rsidRPr="003A7FBE" w:rsidRDefault="00FD2C59" w:rsidP="00996165">
      <w:pPr>
        <w:spacing w:after="0"/>
        <w:jc w:val="center"/>
      </w:pPr>
      <w:r w:rsidRPr="003A7FBE">
        <w:t>Email: ¹rohit.lalbahadur2023@vitstudent.ac.in, ²harsh.gupta2023@vitstudent.ac.in,</w:t>
      </w:r>
    </w:p>
    <w:p w14:paraId="74CBEFE5" w14:textId="77777777" w:rsidR="00FD2C59" w:rsidRPr="003A7FBE" w:rsidRDefault="00FD2C59" w:rsidP="00996165">
      <w:pPr>
        <w:spacing w:after="0"/>
        <w:jc w:val="center"/>
      </w:pPr>
      <w:r w:rsidRPr="003A7FBE">
        <w:t>³anshika.rai2023@vitstudent.ac.in, ⁴syamasudha.v@vit.ac.in</w:t>
      </w:r>
    </w:p>
    <w:p w14:paraId="4EBF1D0D" w14:textId="77777777" w:rsidR="00FD2C59" w:rsidRPr="003A7FBE" w:rsidRDefault="00FD2C59" w:rsidP="00996165">
      <w:pPr>
        <w:jc w:val="center"/>
      </w:pPr>
      <w:r w:rsidRPr="003A7FBE">
        <w:rPr>
          <w:i/>
          <w:iCs/>
        </w:rPr>
        <w:t>⁴</w:t>
      </w:r>
      <w:r w:rsidRPr="0099114F">
        <w:t>Corresponding author</w:t>
      </w:r>
    </w:p>
    <w:p w14:paraId="21B203B9" w14:textId="77777777" w:rsidR="003A7FBE" w:rsidRDefault="003A7FBE" w:rsidP="00FD2C59">
      <w:pPr>
        <w:rPr>
          <w:b/>
          <w:bCs/>
        </w:rPr>
      </w:pPr>
    </w:p>
    <w:p w14:paraId="2BB9D004" w14:textId="126E0492" w:rsidR="003A7FBE" w:rsidRPr="003A7FBE" w:rsidRDefault="00FD2C59" w:rsidP="00FD2C59">
      <w:pPr>
        <w:rPr>
          <w:b/>
          <w:bCs/>
          <w:sz w:val="28"/>
          <w:szCs w:val="28"/>
        </w:rPr>
      </w:pPr>
      <w:r w:rsidRPr="003A7FBE">
        <w:rPr>
          <w:b/>
          <w:bCs/>
          <w:sz w:val="28"/>
          <w:szCs w:val="28"/>
        </w:rPr>
        <w:t>Abstract</w:t>
      </w:r>
    </w:p>
    <w:p w14:paraId="14CA551D" w14:textId="093E07B1" w:rsidR="00FD2C59" w:rsidRPr="00FD2C59" w:rsidRDefault="00FD2C59" w:rsidP="00FD2C59">
      <w:r>
        <w:t>Residential energy monitoring requires a traceable path from telemetry admission to storage, analysis, and controlled notification. This paper presents a local Home Energy Tracker implemented as event-driven microservices with gateway-mediated access control, device-bound telemetry tokens, Apache Kafka, InfluxDB, MySQL, deterministic insights, a duplicate-aware alert path, a legacy Random Forest inference service, and service observability. The repository classifier was previously evaluated on a 5,000-record labelled CSV and reproduced offline; its held-out F1 score of 0.902439 is therefore historical-dataset evidence, not REFIT, field, or household-level accuracy. A Wokwi-compatible request confirms that the inference interface can load the model and return a response, but it is only a smoke test. For data provenance, five official REFIT cleaned files were checksum-verified and the H1/H2/H4 primary cohort was transformed into 468,847 interval-energy records, totalling 386.398411389 kWh under the documented actual-delta sample-hold rule. H3/H11 remain a separate solar-affected sensitivity cohort. End-to-end REFIT ingestion, replay, alert-deduplication validation, and REFIT anomaly-accuracy evaluation are pending. The contribution is thus an implemented, reproducibility-oriented system with explicit evidence limits.</w:t>
      </w:r>
    </w:p>
    <w:p w14:paraId="313007C3" w14:textId="77777777" w:rsidR="00FD2C59" w:rsidRPr="00FD2C59" w:rsidRDefault="00FD2C59" w:rsidP="00FD2C59">
      <w:r w:rsidRPr="00FD2C59">
        <w:rPr>
          <w:b/>
          <w:bCs/>
        </w:rPr>
        <w:t xml:space="preserve">Keywords: </w:t>
      </w:r>
      <w:r w:rsidRPr="003A7FBE">
        <w:t>Home energy management, microservices,</w:t>
      </w:r>
      <w:r w:rsidRPr="00FD2C59">
        <w:t xml:space="preserve"> Apache Kafka, anomaly detection, REFIT, reproducibility, IoT telemetry, alert deduplication.</w:t>
      </w:r>
    </w:p>
    <w:p w14:paraId="1AA68F98" w14:textId="77777777" w:rsidR="00FD2C59" w:rsidRPr="0099114F" w:rsidRDefault="00FD2C59" w:rsidP="00FD2C59">
      <w:pPr>
        <w:rPr>
          <w:b/>
          <w:bCs/>
          <w:sz w:val="28"/>
          <w:szCs w:val="28"/>
        </w:rPr>
      </w:pPr>
      <w:r w:rsidRPr="0099114F">
        <w:rPr>
          <w:b/>
          <w:bCs/>
          <w:sz w:val="28"/>
          <w:szCs w:val="28"/>
        </w:rPr>
        <w:t>1. Introduction</w:t>
      </w:r>
    </w:p>
    <w:p w14:paraId="02DF8633" w14:textId="77777777" w:rsidR="00FD2C59" w:rsidRPr="00FD2C59" w:rsidRDefault="00FD2C59" w:rsidP="00FD2C59">
      <w:r>
        <w:t>Residential energy monitoring is more than a display of consumption: useful systems must admit telemetry, preserve an audit trail, derive operational insights, and issue bounded notifications without being mistaken for calibrated utility metering. Microservice architectures provide a practical way to separate these responsibilities into inspectable components [1], [2].</w:t>
      </w:r>
    </w:p>
    <w:p w14:paraId="542C0D0C" w14:textId="77777777" w:rsidR="00FD2C59" w:rsidRPr="00FD2C59" w:rsidRDefault="00FD2C59" w:rsidP="00FD2C59">
      <w:r>
        <w:t>This study concerns a local Home Energy Tracker, not a calibrated utility-metering product. Simulator-compatible telemetry is used to examine software-path execution, reproducibility, and data preparation; it does not provide physical sensor calibration or utility-billing accuracy. Physical-meter prototypes therefore represent a separate validation category [13], [15].</w:t>
      </w:r>
    </w:p>
    <w:p w14:paraId="38FD59E2" w14:textId="77777777" w:rsidR="00FD2C59" w:rsidRPr="00FD2C59" w:rsidRDefault="00FD2C59" w:rsidP="00FD2C59">
      <w:r>
        <w:t>An event-driven design decouples telemetry admission from downstream aggregation, storage, inference, and alert processing. Recent energy-management architectures use modular services and asynchronous communication for this separation [1], [3]. Their deployment conditions are not treated as numerical baselines for the present local prototype.</w:t>
      </w:r>
    </w:p>
    <w:p w14:paraId="6A6DF962" w14:textId="77777777" w:rsidR="00FD2C59" w:rsidRPr="00FD2C59" w:rsidRDefault="00FD2C59" w:rsidP="00FD2C59">
      <w:r>
        <w:t>In the present system, Keycloak supplies JWT-, role-, and ownership-based control for user-facing requests, while simulator-compatible telemetry is admitted through a device-bound token. These mechanisms define an admission boundary before event processing begins.</w:t>
      </w:r>
    </w:p>
    <w:p w14:paraId="18050CFB" w14:textId="77777777" w:rsidR="00FD2C59" w:rsidRPr="00FD2C59" w:rsidRDefault="00FD2C59" w:rsidP="00FD2C59">
      <w:r>
        <w:t>Validated telemetry is published to Kafka. The Usage Service records time-stamped usage and windowed aggregates; InfluxDB stores time-series usage, while MySQL stores household, device, and alert state. This separation makes the processing path inspectable and keeps relational state distinct from time-series data.</w:t>
      </w:r>
    </w:p>
    <w:p w14:paraId="14CFADA3" w14:textId="77777777" w:rsidR="00FD2C59" w:rsidRPr="00FD2C59" w:rsidRDefault="00FD2C59" w:rsidP="00FD2C59">
      <w:r>
        <w:t>The implementation also exposes deterministic bill forecasting, appliance ranking, standby detection, saving tips, and related insights. Their usefulness depends on being traceable to admitted telemetry, so this study prioritises record handling and evidence boundaries over dashboard presentation alone.</w:t>
      </w:r>
    </w:p>
    <w:p w14:paraId="7E44FF62" w14:textId="77777777" w:rsidR="00FD2C59" w:rsidRPr="00FD2C59" w:rsidRDefault="00FD2C59" w:rsidP="00FD2C59">
      <w:r>
        <w:t>Smart-meter anomaly research links a model result to the measurement source, label definition, feature construction, and evaluation protocol. Studies of daily activities, faults or misuse, dynamic anomaly detection, and real-time AI pipelines therefore provide context for interpreting—not inflating—the evidence of the present classifier [4], [8], [10], [19].</w:t>
      </w:r>
    </w:p>
    <w:p w14:paraId="38064325" w14:textId="77777777" w:rsidR="00FD2C59" w:rsidRPr="00FD2C59" w:rsidRDefault="00FD2C59" w:rsidP="00FD2C59">
      <w:r>
        <w:t>The installed Random Forest is a legacy repository artefact. Although its local reconstruction follows a documented protocol, the historical labelled CSV has incomplete source, licence, label-generation, and causal-feature provenance. Its metrics are consequently treated as reproducibility evidence rather than evidence of generalisation.</w:t>
      </w:r>
    </w:p>
    <w:p w14:paraId="634AB5AF" w14:textId="77777777" w:rsidR="00FD2C59" w:rsidRPr="00FD2C59" w:rsidRDefault="00FD2C59" w:rsidP="00FD2C59">
      <w:r>
        <w:t>REFIT provides a more thoroughly documented household-data source for future evaluation. The descriptor and cleaned-data records establish measurement provenance, but aggregate-power preparation and anomaly-label alignment still require verification before the data can support end-to-end anomaly claims [5]–[7].</w:t>
      </w:r>
    </w:p>
    <w:p w14:paraId="4428F335" w14:textId="77777777" w:rsidR="00FD2C59" w:rsidRPr="00FD2C59" w:rsidRDefault="00FD2C59" w:rsidP="00FD2C59">
      <w:r>
        <w:t>This paper documents the implemented architecture, a reproducible historical baseline, and checksum-verified REFIT preparation. It distinguishes those completed activities from isolated provisioning, replay, alert-deduplication validation, and REFIT anomaly-accuracy evaluation, which remain future validation work.</w:t>
      </w:r>
    </w:p>
    <w:p w14:paraId="72072306" w14:textId="77777777" w:rsidR="00FD2C59" w:rsidRPr="00FD2C59" w:rsidRDefault="00FD2C59" w:rsidP="00FD2C59">
      <w:pPr>
        <w:rPr>
          <w:b/>
          <w:bCs/>
        </w:rPr>
      </w:pPr>
      <w:r w:rsidRPr="00FD2C59">
        <w:rPr>
          <w:b/>
          <w:bCs/>
        </w:rPr>
        <w:t>1.1 Research Objectives</w:t>
      </w:r>
    </w:p>
    <w:p w14:paraId="660B1259" w14:textId="77777777" w:rsidR="004246C9" w:rsidRPr="004246C9" w:rsidRDefault="004246C9" w:rsidP="004246C9">
      <w:pPr>
        <w:numPr>
          <w:ilvl w:val="0"/>
          <w:numId w:val="7"/>
        </w:numPr>
        <w:spacing w:before="120" w:after="120" w:line="240" w:lineRule="auto"/>
        <w:rPr>
          <w:rFonts w:eastAsia="Times New Roman" w:cstheme="minorHAnsi"/>
          <w:kern w:val="0"/>
          <w:lang w:eastAsia="en-IN"/>
          <w14:ligatures w14:val="none"/>
        </w:rPr>
      </w:pPr>
      <w:r>
        <w:rPr>
          <w:rFonts w:eastAsia="Times New Roman" w:cstheme="minorHAnsi"/>
          <w:kern w:val="0"/>
          <w:lang w:eastAsia="en-IN"/>
          <w14:ligatures w14:val="none"/>
        </w:rPr>
        <w:t>Objective 1: Design a secure microservices data pipeline with telemetry validation, device-token checking, inspectable service boundaries, and invalid-message handling.</w:t>
      </w:r>
    </w:p>
    <w:p w14:paraId="51CBDA17" w14:textId="77777777" w:rsidR="004246C9" w:rsidRPr="004246C9" w:rsidRDefault="004246C9" w:rsidP="004246C9">
      <w:pPr>
        <w:numPr>
          <w:ilvl w:val="0"/>
          <w:numId w:val="7"/>
        </w:numPr>
        <w:spacing w:before="120" w:after="120" w:line="240" w:lineRule="auto"/>
        <w:rPr>
          <w:rFonts w:eastAsia="Times New Roman" w:cstheme="minorHAnsi"/>
          <w:kern w:val="0"/>
          <w:lang w:eastAsia="en-IN"/>
          <w14:ligatures w14:val="none"/>
        </w:rPr>
      </w:pPr>
      <w:r>
        <w:rPr>
          <w:rFonts w:eastAsia="Times New Roman" w:cstheme="minorHAnsi"/>
          <w:kern w:val="0"/>
          <w:lang w:eastAsia="en-IN"/>
          <w14:ligatures w14:val="none"/>
        </w:rPr>
        <w:t>Objective 2: Integrate Kafka with the microservices to support event-driven telemetry processing, baseline inference, alert handling, and observability for failures, replay, consumer lag, and tracing.</w:t>
      </w:r>
    </w:p>
    <w:p w14:paraId="147A8491" w14:textId="77777777" w:rsidR="004246C9" w:rsidRPr="004246C9" w:rsidRDefault="004246C9" w:rsidP="004246C9">
      <w:pPr>
        <w:numPr>
          <w:ilvl w:val="0"/>
          <w:numId w:val="7"/>
        </w:numPr>
        <w:spacing w:before="120" w:after="120" w:line="240" w:lineRule="auto"/>
        <w:rPr>
          <w:rFonts w:eastAsia="Times New Roman" w:cstheme="minorHAnsi"/>
          <w:kern w:val="0"/>
          <w:lang w:eastAsia="en-IN"/>
          <w14:ligatures w14:val="none"/>
        </w:rPr>
      </w:pPr>
      <w:r>
        <w:rPr>
          <w:rFonts w:eastAsia="Times New Roman" w:cstheme="minorHAnsi"/>
          <w:kern w:val="0"/>
          <w:lang w:eastAsia="en-IN"/>
          <w14:ligatures w14:val="none"/>
        </w:rPr>
        <w:t>Objective 3: Establish a reproducible Random Forest baseline by recording the legacy features, random seed, and chronological split, while clearly separating offline metrics from real-world validation.</w:t>
      </w:r>
    </w:p>
    <w:p w14:paraId="3B3C6AD8" w14:textId="77777777" w:rsidR="004246C9" w:rsidRPr="004246C9" w:rsidRDefault="004246C9" w:rsidP="004246C9">
      <w:pPr>
        <w:numPr>
          <w:ilvl w:val="0"/>
          <w:numId w:val="7"/>
        </w:numPr>
        <w:spacing w:before="120" w:after="120" w:line="240" w:lineRule="auto"/>
        <w:rPr>
          <w:rFonts w:eastAsia="Times New Roman" w:cstheme="minorHAnsi"/>
          <w:kern w:val="0"/>
          <w:lang w:eastAsia="en-IN"/>
          <w14:ligatures w14:val="none"/>
        </w:rPr>
      </w:pPr>
      <w:r>
        <w:rPr>
          <w:rFonts w:eastAsia="Times New Roman" w:cstheme="minorHAnsi"/>
          <w:kern w:val="0"/>
          <w:lang w:eastAsia="en-IN"/>
          <w14:ligatures w14:val="none"/>
        </w:rPr>
        <w:t>Objective 4: Prepare and integrity-check REFIT records, document data-quality outcomes, and define evaluation steps for future end-to-end anomaly-detection validation.</w:t>
      </w:r>
    </w:p>
    <w:p>
      <w:r>
        <w:t>Objective-to-evidence alignment: Objective 1 is addressed by the gateway and device-token admission boundary, with independent security testing pending. Objective 2 is addressed by the Kafka-integrated service design and monitoring components, with replay, lag, fault, and recovery tests pending. Objective 3 is supported by deterministic reproduction of the historical baseline, with external and household-level evaluation pending. Objective 4 is supported by REFIT integrity checking, cohort selection, and normalisation, with ingestion, label alignment, replay, and accuracy evaluation pending.</w:t>
      </w:r>
    </w:p>
    <w:p w14:paraId="55A957BA" w14:textId="08FCD1D8" w:rsidR="00FD2C59" w:rsidRPr="0099114F" w:rsidRDefault="00FD2C59" w:rsidP="004246C9"/>
    <w:p w14:paraId="5C976245" w14:textId="77777777" w:rsidR="00FD2C59" w:rsidRPr="0099114F" w:rsidRDefault="00FD2C59" w:rsidP="00FD2C59">
      <w:pPr>
        <w:rPr>
          <w:b/>
          <w:bCs/>
          <w:sz w:val="28"/>
          <w:szCs w:val="28"/>
        </w:rPr>
      </w:pPr>
      <w:r w:rsidRPr="0099114F">
        <w:rPr>
          <w:b/>
          <w:bCs/>
          <w:sz w:val="28"/>
          <w:szCs w:val="28"/>
        </w:rPr>
        <w:t>2. Related Work</w:t>
      </w:r>
    </w:p>
    <w:p w14:paraId="3FC33755" w14:textId="77777777" w:rsidR="0099114F" w:rsidRPr="0099114F" w:rsidRDefault="0099114F" w:rsidP="00FD2C59">
      <w:pPr>
        <w:rPr>
          <w:b/>
          <w:bCs/>
          <w:sz w:val="2"/>
          <w:szCs w:val="2"/>
        </w:rPr>
      </w:pPr>
    </w:p>
    <w:p w14:paraId="36A1D9E4" w14:textId="77777777" w:rsidR="00FD2C59" w:rsidRPr="00FD2C59" w:rsidRDefault="00FD2C59" w:rsidP="00FD2C59">
      <w:r>
        <w:t>Rovetto et al. [1] use a microservices architecture for residential energy-efficiency monitoring. Their work motivates the separation of monitoring responsibilities; the present study applies that principle to a local prototype and does not reuse the reported deployment outcomes as performance evidence.</w:t>
      </w:r>
    </w:p>
    <w:p w14:paraId="7A30DE16" w14:textId="77777777" w:rsidR="00FD2C59" w:rsidRPr="00FD2C59" w:rsidRDefault="00FD2C59" w:rsidP="00FD2C59">
      <w:r>
        <w:t>Motta et al. [2] organise home-energy functions around ingestion, operational, and analytical environments. This layered view helps frame the present gateway, event-processing, storage, inference, and alert components, while the present study makes no claim to replicate the referenced cloud-scale setting.</w:t>
      </w:r>
    </w:p>
    <w:p w14:paraId="3FC4DF2A" w14:textId="77777777" w:rsidR="00FD2C59" w:rsidRPr="00FD2C59" w:rsidRDefault="00FD2C59" w:rsidP="00FD2C59">
      <w:r>
        <w:t>Veloso et al. [3] combine hybrid communication with a modular microservice platform for smart-grid energy management. Their work demonstrates why communication, processing, and service responsibilities should be separated, whereas the present study confines its claim to local service implementation and leaves communication-scale and fault-tolerance evaluation outside the reported evidence.</w:t>
      </w:r>
    </w:p>
    <w:p w14:paraId="7EB21AC2" w14:textId="77777777" w:rsidR="00FD2C59" w:rsidRPr="00FD2C59" w:rsidRDefault="00FD2C59" w:rsidP="00FD2C59">
      <w:r>
        <w:t>At the anomaly-detection level, Hernández et al. [4] connect smart-meter measurements with a defined evaluation context for activity anomalies. That connection is important here because the legacy CSV's labels and provenance are incomplete: its reported metrics can reproduce a historical experiment, but cannot establish household-level anomaly accuracy.</w:t>
      </w:r>
    </w:p>
    <w:p w14:paraId="11B96FC7" w14:textId="77777777" w:rsidR="00FD2C59" w:rsidRPr="00FD2C59" w:rsidRDefault="00FD2C59" w:rsidP="00FD2C59">
      <w:r>
        <w:t>Kulkarni et al. [8] frame anomaly detection in smart electric meters around faults, billing errors, and misuse. Their application context is relevant, but its data, labels, and method do not constitute a benchmark for the fixed legacy Random Forest used in this study.</w:t>
      </w:r>
    </w:p>
    <w:p w14:paraId="1201DCF8" w14:textId="77777777" w:rsidR="00FD2C59" w:rsidRPr="00FD2C59" w:rsidRDefault="00FD2C59" w:rsidP="00FD2C59">
      <w:r>
        <w:t>Maitra et al. [10] describe a convolutional-autoencoder approach with a dynamic threshold for real-time meter data. It provides an alternative modelling strategy, but it is an arXiv preprint and is not used as a direct performance comparator for the historical Random Forest.</w:t>
      </w:r>
    </w:p>
    <w:p w14:paraId="6C86C7FE" w14:textId="77777777" w:rsidR="00FD2C59" w:rsidRPr="00FD2C59" w:rsidRDefault="00FD2C59" w:rsidP="00FD2C59">
      <w:r>
        <w:t>IoT-monitoring studies also focus on user-facing and physical-meter settings. Karthika et al. [11] provide smart-energy-monitoring context; Liu and Hsiao [12] report smart-plug-based home energy management with regression-based anomaly detection; and Hidayat and Al-Faris [13] use an ESP32/PZEM-004T monitoring prototype. These physical-monitoring contexts underscore why the Wokwi-compatible request in this study must not be presented as calibrated meter evidence.</w:t>
      </w:r>
    </w:p>
    <w:p w14:paraId="09B35A6E" w14:textId="77777777" w:rsidR="00FD2C59" w:rsidRPr="00FD2C59" w:rsidRDefault="00FD2C59" w:rsidP="00FD2C59">
      <w:r>
        <w:t>Sirisumrannukul et al. [14] integrate ANNs and particle-swarm optimisation in a cooling-management microservice platform, making optimisation and autonomous control central to their contribution. Hossain and Hassan [15] report a real-time smart-energy-meter system, and Zhu and Yue [17] describe smart-city energy management using technologies that include Docker, Kafka, and InfluxDB. These studies provide complementary application and architectural context, but their deployment settings and outcomes are not transferred to the present local tracker.</w:t>
      </w:r>
    </w:p>
    <w:p w14:paraId="40A0EAE1" w14:textId="77777777" w:rsidR="00FD2C59" w:rsidRPr="00FD2C59" w:rsidRDefault="00FD2C59" w:rsidP="00FD2C59">
      <w:r>
        <w:t>Shuaibu et al. [19] present a smart-metering pipeline that uses DDS middleware and multi-task neural inference for appliance monitoring and anomaly detection. De Sousa and Rabelo [20] combine residential consumption monitoring with power-quality analysis. Both works illustrate broader operational goals than those demonstrated here: the present system does not claim appliance-level inference, power-quality classification, field calibration, or comparable real-time performance.</w:t>
      </w:r>
    </w:p>
    <w:p w14:paraId="785F8710" w14:textId="77777777" w:rsidR="00FD2C59" w:rsidRPr="00FD2C59" w:rsidRDefault="00FD2C59" w:rsidP="00FD2C59">
      <w:r>
        <w:t>REFIT is treated separately from these research studies because it is a dataset and data-provenance resource. Murray et al. [5] document the household measurements, while the University of Strathclyde and Zenodo records describe cleaned data access [6], [7]. The present work uses these sources for checksum verification, cohort selection, and repeatable interval-energy preparation rather than as a source of validated aggregate anomaly labels.</w:t>
      </w:r>
    </w:p>
    <w:p w14:paraId="03CD5C0A" w14:textId="77777777" w:rsidR="00FD2C59" w:rsidRPr="00FD2C59" w:rsidRDefault="00FD2C59" w:rsidP="00FD2C59">
      <w:r>
        <w:t>Taken together, the reviewed work establishes the value of modular energy architectures, IoT monitoring, and anomaly-analysis methods. It also shows that evidence is tied to a particular data source, measurement system, and protocol. The present study therefore contributes an evidence-aware local architecture and a reproducible data-preparation path, while retaining clear boundaries around its untested runtime and external-validation stages.</w:t>
      </w:r>
    </w:p>
    <w:p w14:paraId="78509C68" w14:textId="77777777" w:rsidR="00FD2C59" w:rsidRPr="00FD2C59" w:rsidRDefault="00FD2C59" w:rsidP="00FD2C59">
      <w:r>
        <w:t>The comparison in Table I summarises representative studies by objective, approach, contribution, and the evaluation boundary relevant to the present study.</w:t>
      </w:r>
    </w:p>
    <w:p w14:paraId="478D4B80" w14:textId="77777777" w:rsidR="00FD2C59" w:rsidRPr="0099114F" w:rsidRDefault="00FD2C59" w:rsidP="0099114F">
      <w:pPr>
        <w:jc w:val="center"/>
        <w:rPr>
          <w:sz w:val="21"/>
          <w:szCs w:val="21"/>
        </w:rPr>
      </w:pPr>
      <w:r>
        <w:rPr>
          <w:b/>
          <w:bCs/>
          <w:sz w:val="21"/>
          <w:szCs w:val="21"/>
        </w:rPr>
        <w:t>Table I. Comparative summary of representative research on home energy monitoring and anomaly detection</w:t>
      </w:r>
    </w:p>
    <w:tbl>
      <w:tblPr>
        <w:tblW w:type="auto" w:w="0"/>
        <w:tblLayout w:type="fixed"/>
        <w:tblLook w:firstColumn="1" w:firstRow="1" w:lastColumn="0" w:lastRow="0" w:noHBand="0" w:noVBand="1" w:val="04A0"/>
      </w:tblPr>
      <w:tblGrid>
        <w:gridCol w:w="1805"/>
        <w:gridCol w:w="1805"/>
        <w:gridCol w:w="1805"/>
        <w:gridCol w:w="1805"/>
        <w:gridCol w:w="1805"/>
      </w:tblGrid>
      <w:tr>
        <w:trPr>
          <w:tblHeader w:val="true"/>
        </w:trPr>
        <w:tc>
          <w:tcPr>
            <w:tcW w:type="dxa" w:w="1051"/>
            <w:vAlign w:val="center"/>
            <w:tcMar>
              <w:top w:w="45" w:type="dxa"/>
              <w:start w:w="45" w:type="dxa"/>
              <w:bottom w:w="45" w:type="dxa"/>
              <w:end w:w="45" w:type="dxa"/>
            </w:tcMar>
          </w:tcPr>
          <w:p>
            <w:pPr>
              <w:jc w:val="left"/>
            </w:pPr>
            <w:r>
              <w:rPr>
                <w:rFonts w:ascii="Times New Roman" w:hAnsi="Times New Roman"/>
                <w:b/>
                <w:sz w:val="14"/>
              </w:rPr>
              <w:t>Reference and year</w:t>
            </w:r>
          </w:p>
        </w:tc>
        <w:tc>
          <w:tcPr>
            <w:tcW w:type="dxa" w:w="1468"/>
            <w:vAlign w:val="center"/>
            <w:tcMar>
              <w:top w:w="45" w:type="dxa"/>
              <w:start w:w="45" w:type="dxa"/>
              <w:bottom w:w="45" w:type="dxa"/>
              <w:end w:w="45" w:type="dxa"/>
            </w:tcMar>
          </w:tcPr>
          <w:p>
            <w:pPr>
              <w:jc w:val="left"/>
            </w:pPr>
            <w:r>
              <w:rPr>
                <w:rFonts w:ascii="Times New Roman" w:hAnsi="Times New Roman"/>
                <w:b/>
                <w:sz w:val="14"/>
              </w:rPr>
              <w:t>Research objective</w:t>
            </w:r>
          </w:p>
        </w:tc>
        <w:tc>
          <w:tcPr>
            <w:tcW w:type="dxa" w:w="1987"/>
            <w:vAlign w:val="center"/>
            <w:tcMar>
              <w:top w:w="45" w:type="dxa"/>
              <w:start w:w="45" w:type="dxa"/>
              <w:bottom w:w="45" w:type="dxa"/>
              <w:end w:w="45" w:type="dxa"/>
            </w:tcMar>
          </w:tcPr>
          <w:p>
            <w:pPr>
              <w:jc w:val="left"/>
            </w:pPr>
            <w:r>
              <w:rPr>
                <w:rFonts w:ascii="Times New Roman" w:hAnsi="Times New Roman"/>
                <w:b/>
                <w:sz w:val="14"/>
              </w:rPr>
              <w:t>Method, architecture, or setting</w:t>
            </w:r>
          </w:p>
        </w:tc>
        <w:tc>
          <w:tcPr>
            <w:tcW w:type="dxa" w:w="1843"/>
            <w:vAlign w:val="center"/>
            <w:tcMar>
              <w:top w:w="45" w:type="dxa"/>
              <w:start w:w="45" w:type="dxa"/>
              <w:bottom w:w="45" w:type="dxa"/>
              <w:end w:w="45" w:type="dxa"/>
            </w:tcMar>
          </w:tcPr>
          <w:p>
            <w:pPr>
              <w:jc w:val="left"/>
            </w:pPr>
            <w:r>
              <w:rPr>
                <w:rFonts w:ascii="Times New Roman" w:hAnsi="Times New Roman"/>
                <w:b/>
                <w:sz w:val="14"/>
              </w:rPr>
              <w:t>Reported contribution</w:t>
            </w:r>
          </w:p>
        </w:tc>
        <w:tc>
          <w:tcPr>
            <w:tcW w:type="dxa" w:w="2664"/>
            <w:vAlign w:val="center"/>
            <w:tcMar>
              <w:top w:w="45" w:type="dxa"/>
              <w:start w:w="45" w:type="dxa"/>
              <w:bottom w:w="45" w:type="dxa"/>
              <w:end w:w="45" w:type="dxa"/>
            </w:tcMar>
          </w:tcPr>
          <w:p>
            <w:pPr>
              <w:jc w:val="left"/>
            </w:pPr>
            <w:r>
              <w:rPr>
                <w:rFonts w:ascii="Times New Roman" w:hAnsi="Times New Roman"/>
                <w:b/>
                <w:sz w:val="14"/>
              </w:rPr>
              <w:t>Relevant boundary and relationship to this study</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 2024</w:t>
            </w:r>
          </w:p>
        </w:tc>
        <w:tc>
          <w:tcPr>
            <w:tcW w:type="dxa" w:w="1468"/>
            <w:vAlign w:val="center"/>
            <w:tcMar>
              <w:top w:w="45" w:type="dxa"/>
              <w:start w:w="45" w:type="dxa"/>
              <w:bottom w:w="45" w:type="dxa"/>
              <w:end w:w="45" w:type="dxa"/>
            </w:tcMar>
          </w:tcPr>
          <w:p>
            <w:pPr>
              <w:jc w:val="left"/>
            </w:pPr>
            <w:r>
              <w:rPr>
                <w:rFonts w:ascii="Times New Roman" w:hAnsi="Times New Roman"/>
                <w:b w:val="0"/>
                <w:sz w:val="14"/>
              </w:rPr>
              <w:t>Residential energy-efficiency monitoring</w:t>
            </w:r>
          </w:p>
        </w:tc>
        <w:tc>
          <w:tcPr>
            <w:tcW w:type="dxa" w:w="1987"/>
            <w:vAlign w:val="center"/>
            <w:tcMar>
              <w:top w:w="45" w:type="dxa"/>
              <w:start w:w="45" w:type="dxa"/>
              <w:bottom w:w="45" w:type="dxa"/>
              <w:end w:w="45" w:type="dxa"/>
            </w:tcMar>
          </w:tcPr>
          <w:p>
            <w:pPr>
              <w:jc w:val="left"/>
            </w:pPr>
            <w:r>
              <w:rPr>
                <w:rFonts w:ascii="Times New Roman" w:hAnsi="Times New Roman"/>
                <w:b w:val="0"/>
                <w:sz w:val="14"/>
              </w:rPr>
              <w:t>Microservices architecture</w:t>
            </w:r>
          </w:p>
        </w:tc>
        <w:tc>
          <w:tcPr>
            <w:tcW w:type="dxa" w:w="1843"/>
            <w:vAlign w:val="center"/>
            <w:tcMar>
              <w:top w:w="45" w:type="dxa"/>
              <w:start w:w="45" w:type="dxa"/>
              <w:bottom w:w="45" w:type="dxa"/>
              <w:end w:w="45" w:type="dxa"/>
            </w:tcMar>
          </w:tcPr>
          <w:p>
            <w:pPr>
              <w:jc w:val="left"/>
            </w:pPr>
            <w:r>
              <w:rPr>
                <w:rFonts w:ascii="Times New Roman" w:hAnsi="Times New Roman"/>
                <w:b w:val="0"/>
                <w:sz w:val="14"/>
              </w:rPr>
              <w:t>Separates monitoring responsibilities into services.</w:t>
            </w:r>
          </w:p>
        </w:tc>
        <w:tc>
          <w:tcPr>
            <w:tcW w:type="dxa" w:w="2664"/>
            <w:vAlign w:val="center"/>
            <w:tcMar>
              <w:top w:w="45" w:type="dxa"/>
              <w:start w:w="45" w:type="dxa"/>
              <w:bottom w:w="45" w:type="dxa"/>
              <w:end w:w="45" w:type="dxa"/>
            </w:tcMar>
          </w:tcPr>
          <w:p>
            <w:pPr>
              <w:jc w:val="left"/>
            </w:pPr>
            <w:r>
              <w:rPr>
                <w:rFonts w:ascii="Times New Roman" w:hAnsi="Times New Roman"/>
                <w:b w:val="0"/>
                <w:sz w:val="14"/>
              </w:rPr>
              <w:t>Motivates component separation; its deployment findings are not reused as benchmarks.</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[2], 2025</w:t>
            </w:r>
          </w:p>
        </w:tc>
        <w:tc>
          <w:tcPr>
            <w:tcW w:type="dxa" w:w="1468"/>
            <w:vAlign w:val="center"/>
            <w:tcMar>
              <w:top w:w="45" w:type="dxa"/>
              <w:start w:w="45" w:type="dxa"/>
              <w:bottom w:w="45" w:type="dxa"/>
              <w:end w:w="45" w:type="dxa"/>
            </w:tcMar>
          </w:tcPr>
          <w:p>
            <w:pPr>
              <w:jc w:val="left"/>
            </w:pPr>
            <w:r>
              <w:rPr>
                <w:rFonts w:ascii="Times New Roman" w:hAnsi="Times New Roman"/>
                <w:b w:val="0"/>
                <w:sz w:val="14"/>
              </w:rPr>
              <w:t>Home energy-management architecture</w:t>
            </w:r>
          </w:p>
        </w:tc>
        <w:tc>
          <w:tcPr>
            <w:tcW w:type="dxa" w:w="1987"/>
            <w:vAlign w:val="center"/>
            <w:tcMar>
              <w:top w:w="45" w:type="dxa"/>
              <w:start w:w="45" w:type="dxa"/>
              <w:bottom w:w="45" w:type="dxa"/>
              <w:end w:w="45" w:type="dxa"/>
            </w:tcMar>
          </w:tcPr>
          <w:p>
            <w:pPr>
              <w:jc w:val="left"/>
            </w:pPr>
            <w:r>
              <w:rPr>
                <w:rFonts w:ascii="Times New Roman" w:hAnsi="Times New Roman"/>
                <w:b w:val="0"/>
                <w:sz w:val="14"/>
              </w:rPr>
              <w:t>Cloud HEMS conceptual model</w:t>
            </w:r>
          </w:p>
        </w:tc>
        <w:tc>
          <w:tcPr>
            <w:tcW w:type="dxa" w:w="1843"/>
            <w:vAlign w:val="center"/>
            <w:tcMar>
              <w:top w:w="45" w:type="dxa"/>
              <w:start w:w="45" w:type="dxa"/>
              <w:bottom w:w="45" w:type="dxa"/>
              <w:end w:w="45" w:type="dxa"/>
            </w:tcMar>
          </w:tcPr>
          <w:p>
            <w:pPr>
              <w:jc w:val="left"/>
            </w:pPr>
            <w:r>
              <w:rPr>
                <w:rFonts w:ascii="Times New Roman" w:hAnsi="Times New Roman"/>
                <w:b w:val="0"/>
                <w:sz w:val="14"/>
              </w:rPr>
              <w:t>Organises ingestion, operational, and analytical environments.</w:t>
            </w:r>
          </w:p>
        </w:tc>
        <w:tc>
          <w:tcPr>
            <w:tcW w:type="dxa" w:w="2664"/>
            <w:vAlign w:val="center"/>
            <w:tcMar>
              <w:top w:w="45" w:type="dxa"/>
              <w:start w:w="45" w:type="dxa"/>
              <w:bottom w:w="45" w:type="dxa"/>
              <w:end w:w="45" w:type="dxa"/>
            </w:tcMar>
          </w:tcPr>
          <w:p>
            <w:pPr>
              <w:jc w:val="left"/>
            </w:pPr>
            <w:r>
              <w:rPr>
                <w:rFonts w:ascii="Times New Roman" w:hAnsi="Times New Roman"/>
                <w:b w:val="0"/>
                <w:sz w:val="14"/>
              </w:rPr>
              <w:t>Supports the architectural framing; the present study does not claim its cloud-scale results.</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[3], 2026</w:t>
            </w:r>
          </w:p>
        </w:tc>
        <w:tc>
          <w:tcPr>
            <w:tcW w:type="dxa" w:w="1468"/>
            <w:vAlign w:val="center"/>
            <w:tcMar>
              <w:top w:w="45" w:type="dxa"/>
              <w:start w:w="45" w:type="dxa"/>
              <w:bottom w:w="45" w:type="dxa"/>
              <w:end w:w="45" w:type="dxa"/>
            </w:tcMar>
          </w:tcPr>
          <w:p>
            <w:pPr>
              <w:jc w:val="left"/>
            </w:pPr>
            <w:r>
              <w:rPr>
                <w:rFonts w:ascii="Times New Roman" w:hAnsi="Times New Roman"/>
                <w:b w:val="0"/>
                <w:sz w:val="14"/>
              </w:rPr>
              <w:t>Smart-grid energy management</w:t>
            </w:r>
          </w:p>
        </w:tc>
        <w:tc>
          <w:tcPr>
            <w:tcW w:type="dxa" w:w="1987"/>
            <w:vAlign w:val="center"/>
            <w:tcMar>
              <w:top w:w="45" w:type="dxa"/>
              <w:start w:w="45" w:type="dxa"/>
              <w:bottom w:w="45" w:type="dxa"/>
              <w:end w:w="45" w:type="dxa"/>
            </w:tcMar>
          </w:tcPr>
          <w:p>
            <w:pPr>
              <w:jc w:val="left"/>
            </w:pPr>
            <w:r>
              <w:rPr>
                <w:rFonts w:ascii="Times New Roman" w:hAnsi="Times New Roman"/>
                <w:b w:val="0"/>
                <w:sz w:val="14"/>
              </w:rPr>
              <w:t>Hybrid communication with microservices</w:t>
            </w:r>
          </w:p>
        </w:tc>
        <w:tc>
          <w:tcPr>
            <w:tcW w:type="dxa" w:w="1843"/>
            <w:vAlign w:val="center"/>
            <w:tcMar>
              <w:top w:w="45" w:type="dxa"/>
              <w:start w:w="45" w:type="dxa"/>
              <w:bottom w:w="45" w:type="dxa"/>
              <w:end w:w="45" w:type="dxa"/>
            </w:tcMar>
          </w:tcPr>
          <w:p>
            <w:pPr>
              <w:jc w:val="left"/>
            </w:pPr>
            <w:r>
              <w:rPr>
                <w:rFonts w:ascii="Times New Roman" w:hAnsi="Times New Roman"/>
                <w:b w:val="0"/>
                <w:sz w:val="14"/>
              </w:rPr>
              <w:t>Presents and validates a modular smart-grid platform in its own setting.</w:t>
            </w:r>
          </w:p>
        </w:tc>
        <w:tc>
          <w:tcPr>
            <w:tcW w:type="dxa" w:w="2664"/>
            <w:vAlign w:val="center"/>
            <w:tcMar>
              <w:top w:w="45" w:type="dxa"/>
              <w:start w:w="45" w:type="dxa"/>
              <w:bottom w:w="45" w:type="dxa"/>
              <w:end w:w="45" w:type="dxa"/>
            </w:tcMar>
          </w:tcPr>
          <w:p>
            <w:pPr>
              <w:jc w:val="left"/>
            </w:pPr>
            <w:r>
              <w:rPr>
                <w:rFonts w:ascii="Times New Roman" w:hAnsi="Times New Roman"/>
                <w:b w:val="0"/>
                <w:sz w:val="14"/>
              </w:rPr>
              <w:t>Supports decoupled design; communication and deployment metrics are not transferred.</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[4], 2024</w:t>
            </w:r>
          </w:p>
        </w:tc>
        <w:tc>
          <w:tcPr>
            <w:tcW w:type="dxa" w:w="1468"/>
            <w:vAlign w:val="center"/>
            <w:tcMar>
              <w:top w:w="45" w:type="dxa"/>
              <w:start w:w="45" w:type="dxa"/>
              <w:bottom w:w="45" w:type="dxa"/>
              <w:end w:w="45" w:type="dxa"/>
            </w:tcMar>
          </w:tcPr>
          <w:p>
            <w:pPr>
              <w:jc w:val="left"/>
            </w:pPr>
            <w:r>
              <w:rPr>
                <w:rFonts w:ascii="Times New Roman" w:hAnsi="Times New Roman"/>
                <w:b w:val="0"/>
                <w:sz w:val="14"/>
              </w:rPr>
              <w:t>Anomaly detection from smart-meter data</w:t>
            </w:r>
          </w:p>
        </w:tc>
        <w:tc>
          <w:tcPr>
            <w:tcW w:type="dxa" w:w="1987"/>
            <w:vAlign w:val="center"/>
            <w:tcMar>
              <w:top w:w="45" w:type="dxa"/>
              <w:start w:w="45" w:type="dxa"/>
              <w:bottom w:w="45" w:type="dxa"/>
              <w:end w:w="45" w:type="dxa"/>
            </w:tcMar>
          </w:tcPr>
          <w:p>
            <w:pPr>
              <w:jc w:val="left"/>
            </w:pPr>
            <w:r>
              <w:rPr>
                <w:rFonts w:ascii="Times New Roman" w:hAnsi="Times New Roman"/>
                <w:b w:val="0"/>
                <w:sz w:val="14"/>
              </w:rPr>
              <w:t>Daily-activity analysis with a real household meter</w:t>
            </w:r>
          </w:p>
        </w:tc>
        <w:tc>
          <w:tcPr>
            <w:tcW w:type="dxa" w:w="1843"/>
            <w:vAlign w:val="center"/>
            <w:tcMar>
              <w:top w:w="45" w:type="dxa"/>
              <w:start w:w="45" w:type="dxa"/>
              <w:bottom w:w="45" w:type="dxa"/>
              <w:end w:w="45" w:type="dxa"/>
            </w:tcMar>
          </w:tcPr>
          <w:p>
            <w:pPr>
              <w:jc w:val="left"/>
            </w:pPr>
            <w:r>
              <w:rPr>
                <w:rFonts w:ascii="Times New Roman" w:hAnsi="Times New Roman"/>
                <w:b w:val="0"/>
                <w:sz w:val="14"/>
              </w:rPr>
              <w:t>Links anomaly interpretation to a documented measurement and evaluation context.</w:t>
            </w:r>
          </w:p>
        </w:tc>
        <w:tc>
          <w:tcPr>
            <w:tcW w:type="dxa" w:w="2664"/>
            <w:vAlign w:val="center"/>
            <w:tcMar>
              <w:top w:w="45" w:type="dxa"/>
              <w:start w:w="45" w:type="dxa"/>
              <w:bottom w:w="45" w:type="dxa"/>
              <w:end w:w="45" w:type="dxa"/>
            </w:tcMar>
          </w:tcPr>
          <w:p>
            <w:pPr>
              <w:jc w:val="left"/>
            </w:pPr>
            <w:r>
              <w:rPr>
                <w:rFonts w:ascii="Times New Roman" w:hAnsi="Times New Roman"/>
                <w:b w:val="0"/>
                <w:sz w:val="14"/>
              </w:rPr>
              <w:t>Reinforces the need to keep data, labels, and protocol explicit; task differs from the legacy classifier.</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[8], 2024</w:t>
            </w:r>
          </w:p>
        </w:tc>
        <w:tc>
          <w:tcPr>
            <w:tcW w:type="dxa" w:w="1468"/>
            <w:vAlign w:val="center"/>
            <w:tcMar>
              <w:top w:w="45" w:type="dxa"/>
              <w:start w:w="45" w:type="dxa"/>
              <w:bottom w:w="45" w:type="dxa"/>
              <w:end w:w="45" w:type="dxa"/>
            </w:tcMar>
          </w:tcPr>
          <w:p>
            <w:pPr>
              <w:jc w:val="left"/>
            </w:pPr>
            <w:r>
              <w:rPr>
                <w:rFonts w:ascii="Times New Roman" w:hAnsi="Times New Roman"/>
                <w:b w:val="0"/>
                <w:sz w:val="14"/>
              </w:rPr>
              <w:t>Fault and misuse identification</w:t>
            </w:r>
          </w:p>
        </w:tc>
        <w:tc>
          <w:tcPr>
            <w:tcW w:type="dxa" w:w="1987"/>
            <w:vAlign w:val="center"/>
            <w:tcMar>
              <w:top w:w="45" w:type="dxa"/>
              <w:start w:w="45" w:type="dxa"/>
              <w:bottom w:w="45" w:type="dxa"/>
              <w:end w:w="45" w:type="dxa"/>
            </w:tcMar>
          </w:tcPr>
          <w:p>
            <w:pPr>
              <w:jc w:val="left"/>
            </w:pPr>
            <w:r>
              <w:rPr>
                <w:rFonts w:ascii="Times New Roman" w:hAnsi="Times New Roman"/>
                <w:b w:val="0"/>
                <w:sz w:val="14"/>
              </w:rPr>
              <w:t>Smart-meter data analytics and machine learning</w:t>
            </w:r>
          </w:p>
        </w:tc>
        <w:tc>
          <w:tcPr>
            <w:tcW w:type="dxa" w:w="1843"/>
            <w:vAlign w:val="center"/>
            <w:tcMar>
              <w:top w:w="45" w:type="dxa"/>
              <w:start w:w="45" w:type="dxa"/>
              <w:bottom w:w="45" w:type="dxa"/>
              <w:end w:w="45" w:type="dxa"/>
            </w:tcMar>
          </w:tcPr>
          <w:p>
            <w:pPr>
              <w:jc w:val="left"/>
            </w:pPr>
            <w:r>
              <w:rPr>
                <w:rFonts w:ascii="Times New Roman" w:hAnsi="Times New Roman"/>
                <w:b w:val="0"/>
                <w:sz w:val="14"/>
              </w:rPr>
              <w:t>Uses anomaly detection for faults, billing errors, and misuse context.</w:t>
            </w:r>
          </w:p>
        </w:tc>
        <w:tc>
          <w:tcPr>
            <w:tcW w:type="dxa" w:w="2664"/>
            <w:vAlign w:val="center"/>
            <w:tcMar>
              <w:top w:w="45" w:type="dxa"/>
              <w:start w:w="45" w:type="dxa"/>
              <w:bottom w:w="45" w:type="dxa"/>
              <w:end w:w="45" w:type="dxa"/>
            </w:tcMar>
          </w:tcPr>
          <w:p>
            <w:pPr>
              <w:jc w:val="left"/>
            </w:pPr>
            <w:r>
              <w:rPr>
                <w:rFonts w:ascii="Times New Roman" w:hAnsi="Times New Roman"/>
                <w:b w:val="0"/>
                <w:sz w:val="14"/>
              </w:rPr>
              <w:t>Relevant anomaly application context; labels, features, and data are not those of the present study.</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[10], 2024 (preprint)</w:t>
            </w:r>
          </w:p>
        </w:tc>
        <w:tc>
          <w:tcPr>
            <w:tcW w:type="dxa" w:w="1468"/>
            <w:vAlign w:val="center"/>
            <w:tcMar>
              <w:top w:w="45" w:type="dxa"/>
              <w:start w:w="45" w:type="dxa"/>
              <w:bottom w:w="45" w:type="dxa"/>
              <w:end w:w="45" w:type="dxa"/>
            </w:tcMar>
          </w:tcPr>
          <w:p>
            <w:pPr>
              <w:jc w:val="left"/>
            </w:pPr>
            <w:r>
              <w:rPr>
                <w:rFonts w:ascii="Times New Roman" w:hAnsi="Times New Roman"/>
                <w:b w:val="0"/>
                <w:sz w:val="14"/>
              </w:rPr>
              <w:t>Real-time energy-anomaly detection</w:t>
            </w:r>
          </w:p>
        </w:tc>
        <w:tc>
          <w:tcPr>
            <w:tcW w:type="dxa" w:w="1987"/>
            <w:vAlign w:val="center"/>
            <w:tcMar>
              <w:top w:w="45" w:type="dxa"/>
              <w:start w:w="45" w:type="dxa"/>
              <w:bottom w:w="45" w:type="dxa"/>
              <w:end w:w="45" w:type="dxa"/>
            </w:tcMar>
          </w:tcPr>
          <w:p>
            <w:pPr>
              <w:jc w:val="left"/>
            </w:pPr>
            <w:r>
              <w:rPr>
                <w:rFonts w:ascii="Times New Roman" w:hAnsi="Times New Roman"/>
                <w:b w:val="0"/>
                <w:sz w:val="14"/>
              </w:rPr>
              <w:t>Convolutional autoencoder with dynamic threshold</w:t>
            </w:r>
          </w:p>
        </w:tc>
        <w:tc>
          <w:tcPr>
            <w:tcW w:type="dxa" w:w="1843"/>
            <w:vAlign w:val="center"/>
            <w:tcMar>
              <w:top w:w="45" w:type="dxa"/>
              <w:start w:w="45" w:type="dxa"/>
              <w:bottom w:w="45" w:type="dxa"/>
              <w:end w:w="45" w:type="dxa"/>
            </w:tcMar>
          </w:tcPr>
          <w:p>
            <w:pPr>
              <w:jc w:val="left"/>
            </w:pPr>
            <w:r>
              <w:rPr>
                <w:rFonts w:ascii="Times New Roman" w:hAnsi="Times New Roman"/>
                <w:b w:val="0"/>
                <w:sz w:val="14"/>
              </w:rPr>
              <w:t>Presents an alternative model using meter data and an adaptive threshold.</w:t>
            </w:r>
          </w:p>
        </w:tc>
        <w:tc>
          <w:tcPr>
            <w:tcW w:type="dxa" w:w="2664"/>
            <w:vAlign w:val="center"/>
            <w:tcMar>
              <w:top w:w="45" w:type="dxa"/>
              <w:start w:w="45" w:type="dxa"/>
              <w:bottom w:w="45" w:type="dxa"/>
              <w:end w:w="45" w:type="dxa"/>
            </w:tcMar>
          </w:tcPr>
          <w:p>
            <w:pPr>
              <w:jc w:val="left"/>
            </w:pPr>
            <w:r>
              <w:rPr>
                <w:rFonts w:ascii="Times New Roman" w:hAnsi="Times New Roman"/>
                <w:b w:val="0"/>
                <w:sz w:val="14"/>
              </w:rPr>
              <w:t>A preprint and not a direct baseline; no performance comparison is claimed with the legacy Random Forest.</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[11], 2025</w:t>
            </w:r>
          </w:p>
        </w:tc>
        <w:tc>
          <w:tcPr>
            <w:tcW w:type="dxa" w:w="1468"/>
            <w:vAlign w:val="center"/>
            <w:tcMar>
              <w:top w:w="45" w:type="dxa"/>
              <w:start w:w="45" w:type="dxa"/>
              <w:bottom w:w="45" w:type="dxa"/>
              <w:end w:w="45" w:type="dxa"/>
            </w:tcMar>
          </w:tcPr>
          <w:p>
            <w:pPr>
              <w:jc w:val="left"/>
            </w:pPr>
            <w:r>
              <w:rPr>
                <w:rFonts w:ascii="Times New Roman" w:hAnsi="Times New Roman"/>
                <w:b w:val="0"/>
                <w:sz w:val="14"/>
              </w:rPr>
              <w:t>Smart energy monitoring</w:t>
            </w:r>
          </w:p>
        </w:tc>
        <w:tc>
          <w:tcPr>
            <w:tcW w:type="dxa" w:w="1987"/>
            <w:vAlign w:val="center"/>
            <w:tcMar>
              <w:top w:w="45" w:type="dxa"/>
              <w:start w:w="45" w:type="dxa"/>
              <w:bottom w:w="45" w:type="dxa"/>
              <w:end w:w="45" w:type="dxa"/>
            </w:tcMar>
          </w:tcPr>
          <w:p>
            <w:pPr>
              <w:jc w:val="left"/>
            </w:pPr>
            <w:r>
              <w:rPr>
                <w:rFonts w:ascii="Times New Roman" w:hAnsi="Times New Roman"/>
                <w:b w:val="0"/>
                <w:sz w:val="14"/>
              </w:rPr>
              <w:t>IoT-oriented monitoring system</w:t>
            </w:r>
          </w:p>
        </w:tc>
        <w:tc>
          <w:tcPr>
            <w:tcW w:type="dxa" w:w="1843"/>
            <w:vAlign w:val="center"/>
            <w:tcMar>
              <w:top w:w="45" w:type="dxa"/>
              <w:start w:w="45" w:type="dxa"/>
              <w:bottom w:w="45" w:type="dxa"/>
              <w:end w:w="45" w:type="dxa"/>
            </w:tcMar>
          </w:tcPr>
          <w:p>
            <w:pPr>
              <w:jc w:val="left"/>
            </w:pPr>
            <w:r>
              <w:rPr>
                <w:rFonts w:ascii="Times New Roman" w:hAnsi="Times New Roman"/>
                <w:b w:val="0"/>
                <w:sz w:val="14"/>
              </w:rPr>
              <w:t>Provides application-level monitoring context.</w:t>
            </w:r>
          </w:p>
        </w:tc>
        <w:tc>
          <w:tcPr>
            <w:tcW w:type="dxa" w:w="2664"/>
            <w:vAlign w:val="center"/>
            <w:tcMar>
              <w:top w:w="45" w:type="dxa"/>
              <w:start w:w="45" w:type="dxa"/>
              <w:bottom w:w="45" w:type="dxa"/>
              <w:end w:w="45" w:type="dxa"/>
            </w:tcMar>
          </w:tcPr>
          <w:p>
            <w:pPr>
              <w:jc w:val="left"/>
            </w:pPr>
            <w:r>
              <w:rPr>
                <w:rFonts w:ascii="Times New Roman" w:hAnsi="Times New Roman"/>
                <w:b w:val="0"/>
                <w:sz w:val="14"/>
              </w:rPr>
              <w:t>Used only for monitoring context; source-level empirical detail is limited for a direct comparison.</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[12], 2026</w:t>
            </w:r>
          </w:p>
        </w:tc>
        <w:tc>
          <w:tcPr>
            <w:tcW w:type="dxa" w:w="1468"/>
            <w:vAlign w:val="center"/>
            <w:tcMar>
              <w:top w:w="45" w:type="dxa"/>
              <w:start w:w="45" w:type="dxa"/>
              <w:bottom w:w="45" w:type="dxa"/>
              <w:end w:w="45" w:type="dxa"/>
            </w:tcMar>
          </w:tcPr>
          <w:p>
            <w:pPr>
              <w:jc w:val="left"/>
            </w:pPr>
            <w:r>
              <w:rPr>
                <w:rFonts w:ascii="Times New Roman" w:hAnsi="Times New Roman"/>
                <w:b w:val="0"/>
                <w:sz w:val="14"/>
              </w:rPr>
              <w:t>Home energy management and anomaly detection</w:t>
            </w:r>
          </w:p>
        </w:tc>
        <w:tc>
          <w:tcPr>
            <w:tcW w:type="dxa" w:w="1987"/>
            <w:vAlign w:val="center"/>
            <w:tcMar>
              <w:top w:w="45" w:type="dxa"/>
              <w:start w:w="45" w:type="dxa"/>
              <w:bottom w:w="45" w:type="dxa"/>
              <w:end w:w="45" w:type="dxa"/>
            </w:tcMar>
          </w:tcPr>
          <w:p>
            <w:pPr>
              <w:jc w:val="left"/>
            </w:pPr>
            <w:r>
              <w:rPr>
                <w:rFonts w:ascii="Times New Roman" w:hAnsi="Times New Roman"/>
                <w:b w:val="0"/>
                <w:sz w:val="14"/>
              </w:rPr>
              <w:t>Smart plugs, Zigbee/MQTT, and regression analysis</w:t>
            </w:r>
          </w:p>
        </w:tc>
        <w:tc>
          <w:tcPr>
            <w:tcW w:type="dxa" w:w="1843"/>
            <w:vAlign w:val="center"/>
            <w:tcMar>
              <w:top w:w="45" w:type="dxa"/>
              <w:start w:w="45" w:type="dxa"/>
              <w:bottom w:w="45" w:type="dxa"/>
              <w:end w:w="45" w:type="dxa"/>
            </w:tcMar>
          </w:tcPr>
          <w:p>
            <w:pPr>
              <w:jc w:val="left"/>
            </w:pPr>
            <w:r>
              <w:rPr>
                <w:rFonts w:ascii="Times New Roman" w:hAnsi="Times New Roman"/>
                <w:b w:val="0"/>
                <w:sz w:val="14"/>
              </w:rPr>
              <w:t>Reports an IoT HEMS with predictive and anomaly-analysis functions.</w:t>
            </w:r>
          </w:p>
        </w:tc>
        <w:tc>
          <w:tcPr>
            <w:tcW w:type="dxa" w:w="2664"/>
            <w:vAlign w:val="center"/>
            <w:tcMar>
              <w:top w:w="45" w:type="dxa"/>
              <w:start w:w="45" w:type="dxa"/>
              <w:bottom w:w="45" w:type="dxa"/>
              <w:end w:w="45" w:type="dxa"/>
            </w:tcMar>
          </w:tcPr>
          <w:p>
            <w:pPr>
              <w:jc w:val="left"/>
            </w:pPr>
            <w:r>
              <w:rPr>
                <w:rFonts w:ascii="Times New Roman" w:hAnsi="Times New Roman"/>
                <w:b w:val="0"/>
                <w:sz w:val="14"/>
              </w:rPr>
              <w:t>Shows a physical smart-plug approach; it is not a benchmark for simulator-compatible telemetry.</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[13], 2025</w:t>
            </w:r>
          </w:p>
        </w:tc>
        <w:tc>
          <w:tcPr>
            <w:tcW w:type="dxa" w:w="1468"/>
            <w:vAlign w:val="center"/>
            <w:tcMar>
              <w:top w:w="45" w:type="dxa"/>
              <w:start w:w="45" w:type="dxa"/>
              <w:bottom w:w="45" w:type="dxa"/>
              <w:end w:w="45" w:type="dxa"/>
            </w:tcMar>
          </w:tcPr>
          <w:p>
            <w:pPr>
              <w:jc w:val="left"/>
            </w:pPr>
            <w:r>
              <w:rPr>
                <w:rFonts w:ascii="Times New Roman" w:hAnsi="Times New Roman"/>
                <w:b w:val="0"/>
                <w:sz w:val="14"/>
              </w:rPr>
              <w:t>Household consumption monitoring</w:t>
            </w:r>
          </w:p>
        </w:tc>
        <w:tc>
          <w:tcPr>
            <w:tcW w:type="dxa" w:w="1987"/>
            <w:vAlign w:val="center"/>
            <w:tcMar>
              <w:top w:w="45" w:type="dxa"/>
              <w:start w:w="45" w:type="dxa"/>
              <w:bottom w:w="45" w:type="dxa"/>
              <w:end w:w="45" w:type="dxa"/>
            </w:tcMar>
          </w:tcPr>
          <w:p>
            <w:pPr>
              <w:jc w:val="left"/>
            </w:pPr>
            <w:r>
              <w:rPr>
                <w:rFonts w:ascii="Times New Roman" w:hAnsi="Times New Roman"/>
                <w:b w:val="0"/>
                <w:sz w:val="14"/>
              </w:rPr>
              <w:t>ESP32 and PZEM-004T prototype</w:t>
            </w:r>
          </w:p>
        </w:tc>
        <w:tc>
          <w:tcPr>
            <w:tcW w:type="dxa" w:w="1843"/>
            <w:vAlign w:val="center"/>
            <w:tcMar>
              <w:top w:w="45" w:type="dxa"/>
              <w:start w:w="45" w:type="dxa"/>
              <w:bottom w:w="45" w:type="dxa"/>
              <w:end w:w="45" w:type="dxa"/>
            </w:tcMar>
          </w:tcPr>
          <w:p>
            <w:pPr>
              <w:jc w:val="left"/>
            </w:pPr>
            <w:r>
              <w:rPr>
                <w:rFonts w:ascii="Times New Roman" w:hAnsi="Times New Roman"/>
                <w:b w:val="0"/>
                <w:sz w:val="14"/>
              </w:rPr>
              <w:t>Implements physical measurement of electrical parameters and IoT reporting.</w:t>
            </w:r>
          </w:p>
        </w:tc>
        <w:tc>
          <w:tcPr>
            <w:tcW w:type="dxa" w:w="2664"/>
            <w:vAlign w:val="center"/>
            <w:tcMar>
              <w:top w:w="45" w:type="dxa"/>
              <w:start w:w="45" w:type="dxa"/>
              <w:bottom w:w="45" w:type="dxa"/>
              <w:end w:w="45" w:type="dxa"/>
            </w:tcMar>
          </w:tcPr>
          <w:p>
            <w:pPr>
              <w:jc w:val="left"/>
            </w:pPr>
            <w:r>
              <w:rPr>
                <w:rFonts w:ascii="Times New Roman" w:hAnsi="Times New Roman"/>
                <w:b w:val="0"/>
                <w:sz w:val="14"/>
              </w:rPr>
              <w:t>Clarifies the distinction between physical-meter validation and the present Wokwi-compatible interface test.</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[14], 2024</w:t>
            </w:r>
          </w:p>
        </w:tc>
        <w:tc>
          <w:tcPr>
            <w:tcW w:type="dxa" w:w="1468"/>
            <w:vAlign w:val="center"/>
            <w:tcMar>
              <w:top w:w="45" w:type="dxa"/>
              <w:start w:w="45" w:type="dxa"/>
              <w:bottom w:w="45" w:type="dxa"/>
              <w:end w:w="45" w:type="dxa"/>
            </w:tcMar>
          </w:tcPr>
          <w:p>
            <w:pPr>
              <w:jc w:val="left"/>
            </w:pPr>
            <w:r>
              <w:rPr>
                <w:rFonts w:ascii="Times New Roman" w:hAnsi="Times New Roman"/>
                <w:b w:val="0"/>
                <w:sz w:val="14"/>
              </w:rPr>
              <w:t>Cooling-energy conservation</w:t>
            </w:r>
          </w:p>
        </w:tc>
        <w:tc>
          <w:tcPr>
            <w:tcW w:type="dxa" w:w="1987"/>
            <w:vAlign w:val="center"/>
            <w:tcMar>
              <w:top w:w="45" w:type="dxa"/>
              <w:start w:w="45" w:type="dxa"/>
              <w:bottom w:w="45" w:type="dxa"/>
              <w:end w:w="45" w:type="dxa"/>
            </w:tcMar>
          </w:tcPr>
          <w:p>
            <w:pPr>
              <w:jc w:val="left"/>
            </w:pPr>
            <w:r>
              <w:rPr>
                <w:rFonts w:ascii="Times New Roman" w:hAnsi="Times New Roman"/>
                <w:b w:val="0"/>
                <w:sz w:val="14"/>
              </w:rPr>
              <w:t>ANNs-PSO analytics microservice platform</w:t>
            </w:r>
          </w:p>
        </w:tc>
        <w:tc>
          <w:tcPr>
            <w:tcW w:type="dxa" w:w="1843"/>
            <w:vAlign w:val="center"/>
            <w:tcMar>
              <w:top w:w="45" w:type="dxa"/>
              <w:start w:w="45" w:type="dxa"/>
              <w:bottom w:w="45" w:type="dxa"/>
              <w:end w:w="45" w:type="dxa"/>
            </w:tcMar>
          </w:tcPr>
          <w:p>
            <w:pPr>
              <w:jc w:val="left"/>
            </w:pPr>
            <w:r>
              <w:rPr>
                <w:rFonts w:ascii="Times New Roman" w:hAnsi="Times New Roman"/>
                <w:b w:val="0"/>
                <w:sz w:val="14"/>
              </w:rPr>
              <w:t>Combines prediction, optimisation, and smart-home control.</w:t>
            </w:r>
          </w:p>
        </w:tc>
        <w:tc>
          <w:tcPr>
            <w:tcW w:type="dxa" w:w="2664"/>
            <w:vAlign w:val="center"/>
            <w:tcMar>
              <w:top w:w="45" w:type="dxa"/>
              <w:start w:w="45" w:type="dxa"/>
              <w:bottom w:w="45" w:type="dxa"/>
              <w:end w:w="45" w:type="dxa"/>
            </w:tcMar>
          </w:tcPr>
          <w:p>
            <w:pPr>
              <w:jc w:val="left"/>
            </w:pPr>
            <w:r>
              <w:rPr>
                <w:rFonts w:ascii="Times New Roman" w:hAnsi="Times New Roman"/>
                <w:b w:val="0"/>
                <w:sz w:val="14"/>
              </w:rPr>
              <w:t>Control optimisation is outside the present tracker scope; no control-performance comparison is made.</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[15], 2024</w:t>
            </w:r>
          </w:p>
        </w:tc>
        <w:tc>
          <w:tcPr>
            <w:tcW w:type="dxa" w:w="1468"/>
            <w:vAlign w:val="center"/>
            <w:tcMar>
              <w:top w:w="45" w:type="dxa"/>
              <w:start w:w="45" w:type="dxa"/>
              <w:bottom w:w="45" w:type="dxa"/>
              <w:end w:w="45" w:type="dxa"/>
            </w:tcMar>
          </w:tcPr>
          <w:p>
            <w:pPr>
              <w:jc w:val="left"/>
            </w:pPr>
            <w:r>
              <w:rPr>
                <w:rFonts w:ascii="Times New Roman" w:hAnsi="Times New Roman"/>
                <w:b w:val="0"/>
                <w:sz w:val="14"/>
              </w:rPr>
              <w:t>Real-time energy-meter monitoring</w:t>
            </w:r>
          </w:p>
        </w:tc>
        <w:tc>
          <w:tcPr>
            <w:tcW w:type="dxa" w:w="1987"/>
            <w:vAlign w:val="center"/>
            <w:tcMar>
              <w:top w:w="45" w:type="dxa"/>
              <w:start w:w="45" w:type="dxa"/>
              <w:bottom w:w="45" w:type="dxa"/>
              <w:end w:w="45" w:type="dxa"/>
            </w:tcMar>
          </w:tcPr>
          <w:p>
            <w:pPr>
              <w:jc w:val="left"/>
            </w:pPr>
            <w:r>
              <w:rPr>
                <w:rFonts w:ascii="Times New Roman" w:hAnsi="Times New Roman"/>
                <w:b w:val="0"/>
                <w:sz w:val="14"/>
              </w:rPr>
              <w:t>Arduino/GSM smart-meter prototype</w:t>
            </w:r>
          </w:p>
        </w:tc>
        <w:tc>
          <w:tcPr>
            <w:tcW w:type="dxa" w:w="1843"/>
            <w:vAlign w:val="center"/>
            <w:tcMar>
              <w:top w:w="45" w:type="dxa"/>
              <w:start w:w="45" w:type="dxa"/>
              <w:bottom w:w="45" w:type="dxa"/>
              <w:end w:w="45" w:type="dxa"/>
            </w:tcMar>
          </w:tcPr>
          <w:p>
            <w:pPr>
              <w:jc w:val="left"/>
            </w:pPr>
            <w:r>
              <w:rPr>
                <w:rFonts w:ascii="Times New Roman" w:hAnsi="Times New Roman"/>
                <w:b w:val="0"/>
                <w:sz w:val="14"/>
              </w:rPr>
              <w:t>Reports a physical meter with monitoring and alert functions.</w:t>
            </w:r>
          </w:p>
        </w:tc>
        <w:tc>
          <w:tcPr>
            <w:tcW w:type="dxa" w:w="2664"/>
            <w:vAlign w:val="center"/>
            <w:tcMar>
              <w:top w:w="45" w:type="dxa"/>
              <w:start w:w="45" w:type="dxa"/>
              <w:bottom w:w="45" w:type="dxa"/>
              <w:end w:w="45" w:type="dxa"/>
            </w:tcMar>
          </w:tcPr>
          <w:p>
            <w:pPr>
              <w:jc w:val="left"/>
            </w:pPr>
            <w:r>
              <w:rPr>
                <w:rFonts w:ascii="Times New Roman" w:hAnsi="Times New Roman"/>
                <w:b w:val="0"/>
                <w:sz w:val="14"/>
              </w:rPr>
              <w:t>Provides physical-meter context; the present work does not claim meter calibration or SMS-alert validation.</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[17], 2025</w:t>
            </w:r>
          </w:p>
        </w:tc>
        <w:tc>
          <w:tcPr>
            <w:tcW w:type="dxa" w:w="1468"/>
            <w:vAlign w:val="center"/>
            <w:tcMar>
              <w:top w:w="45" w:type="dxa"/>
              <w:start w:w="45" w:type="dxa"/>
              <w:bottom w:w="45" w:type="dxa"/>
              <w:end w:w="45" w:type="dxa"/>
            </w:tcMar>
          </w:tcPr>
          <w:p>
            <w:pPr>
              <w:jc w:val="left"/>
            </w:pPr>
            <w:r>
              <w:rPr>
                <w:rFonts w:ascii="Times New Roman" w:hAnsi="Times New Roman"/>
                <w:b w:val="0"/>
                <w:sz w:val="14"/>
              </w:rPr>
              <w:t>Smart-city energy management</w:t>
            </w:r>
          </w:p>
        </w:tc>
        <w:tc>
          <w:tcPr>
            <w:tcW w:type="dxa" w:w="1987"/>
            <w:vAlign w:val="center"/>
            <w:tcMar>
              <w:top w:w="45" w:type="dxa"/>
              <w:start w:w="45" w:type="dxa"/>
              <w:bottom w:w="45" w:type="dxa"/>
              <w:end w:w="45" w:type="dxa"/>
            </w:tcMar>
          </w:tcPr>
          <w:p>
            <w:pPr>
              <w:jc w:val="left"/>
            </w:pPr>
            <w:r>
              <w:rPr>
                <w:rFonts w:ascii="Times New Roman" w:hAnsi="Times New Roman"/>
                <w:b w:val="0"/>
                <w:sz w:val="14"/>
              </w:rPr>
              <w:t>Distributed microservices, Kafka, and InfluxDB</w:t>
            </w:r>
          </w:p>
        </w:tc>
        <w:tc>
          <w:tcPr>
            <w:tcW w:type="dxa" w:w="1843"/>
            <w:vAlign w:val="center"/>
            <w:tcMar>
              <w:top w:w="45" w:type="dxa"/>
              <w:start w:w="45" w:type="dxa"/>
              <w:bottom w:w="45" w:type="dxa"/>
              <w:end w:w="45" w:type="dxa"/>
            </w:tcMar>
          </w:tcPr>
          <w:p>
            <w:pPr>
              <w:jc w:val="left"/>
            </w:pPr>
            <w:r>
              <w:rPr>
                <w:rFonts w:ascii="Times New Roman" w:hAnsi="Times New Roman"/>
                <w:b w:val="0"/>
                <w:sz w:val="14"/>
              </w:rPr>
              <w:t>Uses service and storage technologies relevant to energy data processing.</w:t>
            </w:r>
          </w:p>
        </w:tc>
        <w:tc>
          <w:tcPr>
            <w:tcW w:type="dxa" w:w="2664"/>
            <w:vAlign w:val="center"/>
            <w:tcMar>
              <w:top w:w="45" w:type="dxa"/>
              <w:start w:w="45" w:type="dxa"/>
              <w:bottom w:w="45" w:type="dxa"/>
              <w:end w:w="45" w:type="dxa"/>
            </w:tcMar>
          </w:tcPr>
          <w:p>
            <w:pPr>
              <w:jc w:val="left"/>
            </w:pPr>
            <w:r>
              <w:rPr>
                <w:rFonts w:ascii="Times New Roman" w:hAnsi="Times New Roman"/>
                <w:b w:val="0"/>
                <w:sz w:val="14"/>
              </w:rPr>
              <w:t>Technology overlap supports design rationale; city-scale results do not establish local residential performance.</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[19], 2026</w:t>
            </w:r>
          </w:p>
        </w:tc>
        <w:tc>
          <w:tcPr>
            <w:tcW w:type="dxa" w:w="1468"/>
            <w:vAlign w:val="center"/>
            <w:tcMar>
              <w:top w:w="45" w:type="dxa"/>
              <w:start w:w="45" w:type="dxa"/>
              <w:bottom w:w="45" w:type="dxa"/>
              <w:end w:w="45" w:type="dxa"/>
            </w:tcMar>
          </w:tcPr>
          <w:p>
            <w:pPr>
              <w:jc w:val="left"/>
            </w:pPr>
            <w:r>
              <w:rPr>
                <w:rFonts w:ascii="Times New Roman" w:hAnsi="Times New Roman"/>
                <w:b w:val="0"/>
                <w:sz w:val="14"/>
              </w:rPr>
              <w:t>Appliance monitoring and anomaly detection</w:t>
            </w:r>
          </w:p>
        </w:tc>
        <w:tc>
          <w:tcPr>
            <w:tcW w:type="dxa" w:w="1987"/>
            <w:vAlign w:val="center"/>
            <w:tcMar>
              <w:top w:w="45" w:type="dxa"/>
              <w:start w:w="45" w:type="dxa"/>
              <w:bottom w:w="45" w:type="dxa"/>
              <w:end w:w="45" w:type="dxa"/>
            </w:tcMar>
          </w:tcPr>
          <w:p>
            <w:pPr>
              <w:jc w:val="left"/>
            </w:pPr>
            <w:r>
              <w:rPr>
                <w:rFonts w:ascii="Times New Roman" w:hAnsi="Times New Roman"/>
                <w:b w:val="0"/>
                <w:sz w:val="14"/>
              </w:rPr>
              <w:t>Fast DDS and multi-task neural inference</w:t>
            </w:r>
          </w:p>
        </w:tc>
        <w:tc>
          <w:tcPr>
            <w:tcW w:type="dxa" w:w="1843"/>
            <w:vAlign w:val="center"/>
            <w:tcMar>
              <w:top w:w="45" w:type="dxa"/>
              <w:start w:w="45" w:type="dxa"/>
              <w:bottom w:w="45" w:type="dxa"/>
              <w:end w:w="45" w:type="dxa"/>
            </w:tcMar>
          </w:tcPr>
          <w:p>
            <w:pPr>
              <w:jc w:val="left"/>
            </w:pPr>
            <w:r>
              <w:rPr>
                <w:rFonts w:ascii="Times New Roman" w:hAnsi="Times New Roman"/>
                <w:b w:val="0"/>
                <w:sz w:val="14"/>
              </w:rPr>
              <w:t>Reports a real-time sensing-to-inference pipeline with a different middleware and model.</w:t>
            </w:r>
          </w:p>
        </w:tc>
        <w:tc>
          <w:tcPr>
            <w:tcW w:type="dxa" w:w="2664"/>
            <w:vAlign w:val="center"/>
            <w:tcMar>
              <w:top w:w="45" w:type="dxa"/>
              <w:start w:w="45" w:type="dxa"/>
              <w:bottom w:w="45" w:type="dxa"/>
              <w:end w:w="45" w:type="dxa"/>
            </w:tcMar>
          </w:tcPr>
          <w:p>
            <w:pPr>
              <w:jc w:val="left"/>
            </w:pPr>
            <w:r>
              <w:rPr>
                <w:rFonts w:ascii="Times New Roman" w:hAnsi="Times New Roman"/>
                <w:b w:val="0"/>
                <w:sz w:val="14"/>
              </w:rPr>
              <w:t>Illustrates a more extensively evaluated pipeline; the present study does not claim comparable appliance-level or field results.</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[20], 2025</w:t>
            </w:r>
          </w:p>
        </w:tc>
        <w:tc>
          <w:tcPr>
            <w:tcW w:type="dxa" w:w="1468"/>
            <w:vAlign w:val="center"/>
            <w:tcMar>
              <w:top w:w="45" w:type="dxa"/>
              <w:start w:w="45" w:type="dxa"/>
              <w:bottom w:w="45" w:type="dxa"/>
              <w:end w:w="45" w:type="dxa"/>
            </w:tcMar>
          </w:tcPr>
          <w:p>
            <w:pPr>
              <w:jc w:val="left"/>
            </w:pPr>
            <w:r>
              <w:rPr>
                <w:rFonts w:ascii="Times New Roman" w:hAnsi="Times New Roman"/>
                <w:b w:val="0"/>
                <w:sz w:val="14"/>
              </w:rPr>
              <w:t>Residential consumption and power-quality monitoring</w:t>
            </w:r>
          </w:p>
        </w:tc>
        <w:tc>
          <w:tcPr>
            <w:tcW w:type="dxa" w:w="1987"/>
            <w:vAlign w:val="center"/>
            <w:tcMar>
              <w:top w:w="45" w:type="dxa"/>
              <w:start w:w="45" w:type="dxa"/>
              <w:bottom w:w="45" w:type="dxa"/>
              <w:end w:w="45" w:type="dxa"/>
            </w:tcMar>
          </w:tcPr>
          <w:p>
            <w:pPr>
              <w:jc w:val="left"/>
            </w:pPr>
            <w:r>
              <w:rPr>
                <w:rFonts w:ascii="Times New Roman" w:hAnsi="Times New Roman"/>
                <w:b w:val="0"/>
                <w:sz w:val="14"/>
              </w:rPr>
              <w:t>IoT smart meter with power-quality analysis</w:t>
            </w:r>
          </w:p>
        </w:tc>
        <w:tc>
          <w:tcPr>
            <w:tcW w:type="dxa" w:w="1843"/>
            <w:vAlign w:val="center"/>
            <w:tcMar>
              <w:top w:w="45" w:type="dxa"/>
              <w:start w:w="45" w:type="dxa"/>
              <w:bottom w:w="45" w:type="dxa"/>
              <w:end w:w="45" w:type="dxa"/>
            </w:tcMar>
          </w:tcPr>
          <w:p>
            <w:pPr>
              <w:jc w:val="left"/>
            </w:pPr>
            <w:r>
              <w:rPr>
                <w:rFonts w:ascii="Times New Roman" w:hAnsi="Times New Roman"/>
                <w:b w:val="0"/>
                <w:sz w:val="14"/>
              </w:rPr>
              <w:t>Combines consumption monitoring with disturbance analysis in a physical prototype.</w:t>
            </w:r>
          </w:p>
        </w:tc>
        <w:tc>
          <w:tcPr>
            <w:tcW w:type="dxa" w:w="2664"/>
            <w:vAlign w:val="center"/>
            <w:tcMar>
              <w:top w:w="45" w:type="dxa"/>
              <w:start w:w="45" w:type="dxa"/>
              <w:bottom w:w="45" w:type="dxa"/>
              <w:end w:w="45" w:type="dxa"/>
            </w:tcMar>
          </w:tcPr>
          <w:p>
            <w:pPr>
              <w:jc w:val="left"/>
            </w:pPr>
            <w:r>
              <w:rPr>
                <w:rFonts w:ascii="Times New Roman" w:hAnsi="Times New Roman"/>
                <w:b w:val="0"/>
                <w:sz w:val="14"/>
              </w:rPr>
              <w:t>Power-quality classification and physical validation are outside the demonstrated scope of the present study.</w:t>
            </w:r>
          </w:p>
        </w:tc>
      </w:tr>
    </w:tbl>
    <w:p w14:paraId="30C42110" w14:textId="77777777" w:rsidR="0099114F" w:rsidRPr="0099114F" w:rsidRDefault="0099114F" w:rsidP="00FD2C59">
      <w:pPr>
        <w:rPr>
          <w:b/>
          <w:bCs/>
          <w:sz w:val="4"/>
          <w:szCs w:val="4"/>
        </w:rPr>
      </w:pPr>
    </w:p>
    <w:p w14:paraId="0559A9C3" w14:textId="7E4B7B3F" w:rsidR="00FD2C59" w:rsidRPr="00FD2C59" w:rsidRDefault="00FD2C59" w:rsidP="00FD2C59">
      <w:pPr>
        <w:rPr>
          <w:b/>
          <w:bCs/>
        </w:rPr>
      </w:pPr>
      <w:r w:rsidRPr="00FD2C59">
        <w:rPr>
          <w:b/>
          <w:bCs/>
        </w:rPr>
        <w:t>2.1 Research Gaps Identified</w:t>
      </w:r>
    </w:p>
    <w:p w14:paraId="5BD24267" w14:textId="77777777" w:rsidR="00FD2C59" w:rsidRPr="00FD2C59" w:rsidRDefault="00FD2C59" w:rsidP="00FD2C59">
      <w:pPr>
        <w:rPr>
          <w:b/>
          <w:bCs/>
        </w:rPr>
      </w:pPr>
      <w:r>
        <w:rPr>
          <w:b/>
          <w:bCs/>
        </w:rPr>
        <w:t>Research Gap 1: Traceability across the monitoring pipeline</w:t>
      </w:r>
    </w:p>
    <w:p w14:paraId="2C4A5BD6" w14:textId="77777777" w:rsidR="00FD2C59" w:rsidRPr="00FD2C59" w:rsidRDefault="00FD2C59" w:rsidP="00FD2C59">
      <w:r>
        <w:t>Prior work establishes modular cloud and microservice designs for energy data, including real-time monitoring deployments [1]–[3], [17], [19]. However, the reviewed literature does not always report a record-level, inspectable connection from telemetry admission through broker delivery, persistence, inference, and alert decision in the setting of a local residential prototype. This matters because a missing or duplicated alert cannot otherwise be localised to admission, delivery, storage, inference, or policy handling. The present architecture exposes these boundaries through the gateway, Kafka, services, InfluxDB, and MySQL; end-to-end reconciliation, duplicate suppression, delivery, and fault recovery under recorded-data replay remain unverified.</w:t>
      </w:r>
    </w:p>
    <w:p w14:paraId="3BB1E23B" w14:textId="77777777" w:rsidR="00FD2C59" w:rsidRPr="00FD2C59" w:rsidRDefault="00FD2C59" w:rsidP="00FD2C59">
      <w:pPr>
        <w:rPr>
          <w:b/>
          <w:bCs/>
        </w:rPr>
      </w:pPr>
      <w:r>
        <w:rPr>
          <w:b/>
          <w:bCs/>
        </w:rPr>
        <w:t>Research Gap 2: Separation of reproducibility from model validity</w:t>
      </w:r>
    </w:p>
    <w:p w14:paraId="3240C1D5" w14:textId="77777777" w:rsidR="00FD2C59" w:rsidRPr="00FD2C59" w:rsidRDefault="00FD2C59" w:rsidP="00FD2C59">
      <w:r>
        <w:t>Smart-meter studies report outcomes under their own datasets and protocols [4], [8], [10], [12], [19]. What is not interchangeable is the meaning of a historical metric, an interface response, and a source-integrity check. This study separates the historical Random Forest evaluation, the Wokwi-compatible smoke test, and REFIT preprocessing so that a repeated training run, endpoint response, or checksum is not misrepresented as household-level anomaly accuracy. The remaining limitation is that this separation improves interpretation, not external model validity.</w:t>
      </w:r>
    </w:p>
    <w:p w14:paraId="7958DE65" w14:textId="77777777" w:rsidR="00FD2C59" w:rsidRPr="00FD2C59" w:rsidRDefault="00FD2C59" w:rsidP="00FD2C59">
      <w:pPr>
        <w:rPr>
          <w:b/>
          <w:bCs/>
        </w:rPr>
      </w:pPr>
      <w:r>
        <w:rPr>
          <w:b/>
          <w:bCs/>
        </w:rPr>
        <w:t>Research Gap 3: Reproducible recorded-household preparation and later runtime evaluation</w:t>
      </w:r>
    </w:p>
    <w:p w14:paraId="6158B69C" w14:textId="77777777" w:rsidR="00FD2C59" w:rsidRPr="00FD2C59" w:rsidRDefault="00FD2C59" w:rsidP="00FD2C59">
      <w:r>
        <w:t>REFIT establishes documented household measurements and cleaned-data records [5]–[7], but a reproducible recorded-household experiment also requires explicit cohort selection, timestamp handling, power-to-energy transformation, source integrity, device provisioning, and label alignment. These requirements matter because file integrity alone does not show that authenticated ingestion succeeds, that events reconcile through the runtime, or that an anomaly label belongs to the aggregate reading being evaluated. The present study contributes checksum-verified inputs, a defined H1/H2/H4 primary cohort, a separate solar-affected H3/H11 sensitivity cohort, and deterministic interval-energy artefacts. Device provisioning, live replay, aggregate-label validation, and REFIT accuracy remain outside the current evidence.</w:t>
      </w:r>
    </w:p>
    <w:p w14:paraId="23626A7F" w14:textId="77777777" w:rsidR="00FD2C59" w:rsidRPr="00FD2C59" w:rsidRDefault="00FD2C59" w:rsidP="00FD2C59">
      <w:pPr>
        <w:rPr>
          <w:b/>
          <w:bCs/>
        </w:rPr>
      </w:pPr>
      <w:r>
        <w:rPr>
          <w:b/>
          <w:bCs/>
        </w:rPr>
        <w:t>Synthesis of Research Gaps</w:t>
      </w:r>
    </w:p>
    <w:p w14:paraId="119C4C3A" w14:textId="77777777" w:rsidR="00FD2C59" w:rsidRPr="00FD2C59" w:rsidRDefault="00FD2C59" w:rsidP="00FD2C59">
      <w:r>
        <w:t>The three gaps are connected: inspectable software boundaries support traceability; evidence separation prevents an architecture or smoke test from being mistaken for model validation; and reproducible REFIT preparation supplies a controlled basis for a later recorded-household experiment. Together they motivate the four objectives: implement the pipeline, provide observability, reproduce the legacy baseline without overstating it, and prepare REFIT data for future validation.</w:t>
      </w:r>
    </w:p>
    <w:p w14:paraId="3425087D" w14:textId="77777777" w:rsidR="00FD2C59" w:rsidRPr="00FD2C59" w:rsidRDefault="00FD2C59" w:rsidP="00FD2C59">
      <w:pPr>
        <w:rPr>
          <w:b/>
          <w:bCs/>
        </w:rPr>
      </w:pPr>
      <w:r>
        <w:rPr>
          <w:b/>
          <w:bCs/>
        </w:rPr>
        <w:t>Problem Statement</w:t>
      </w:r>
    </w:p>
    <w:p w14:paraId="0BC37ED4" w14:textId="77777777" w:rsidR="00FD2C59" w:rsidRDefault="00FD2C59" w:rsidP="00FD2C59">
      <w:r>
        <w:t>The research problem is to document and evaluate a residential energy-monitoring system in a way that preserves the distinction between implemented software, reproduced historical results, data-integrity evidence, and unperformed runtime experiments. The system must support simulator-compatible telemetry, event processing, storage, analytics, inference, and alert handling through inspectable boundaries, while REFIT preparation must remain reproducible and ready for a later controlled end-to-end evaluation.</w:t>
      </w:r>
    </w:p>
    <w:p w14:paraId="2D53B1F2" w14:textId="77777777" w:rsidR="00245F34" w:rsidRPr="00245F34" w:rsidRDefault="00245F34" w:rsidP="00FD2C59">
      <w:pPr>
        <w:rPr>
          <w:sz w:val="2"/>
          <w:szCs w:val="2"/>
        </w:rPr>
      </w:pPr>
    </w:p>
    <w:p w14:paraId="65E52F34" w14:textId="77777777" w:rsidR="00FD2C59" w:rsidRPr="00245F34" w:rsidRDefault="00FD2C59" w:rsidP="00FD2C59">
      <w:pPr>
        <w:rPr>
          <w:b/>
          <w:bCs/>
          <w:sz w:val="28"/>
          <w:szCs w:val="28"/>
        </w:rPr>
      </w:pPr>
      <w:r w:rsidRPr="00245F34">
        <w:rPr>
          <w:b/>
          <w:bCs/>
          <w:sz w:val="28"/>
          <w:szCs w:val="28"/>
        </w:rPr>
        <w:t>3. Materials and Methods</w:t>
      </w:r>
    </w:p>
    <w:p w14:paraId="33D7F520" w14:textId="77777777" w:rsidR="00245F34" w:rsidRPr="00245F34" w:rsidRDefault="00245F34" w:rsidP="00FD2C59">
      <w:pPr>
        <w:rPr>
          <w:b/>
          <w:bCs/>
          <w:sz w:val="2"/>
          <w:szCs w:val="2"/>
        </w:rPr>
      </w:pPr>
    </w:p>
    <w:p w14:paraId="2450D3D4" w14:textId="7EDE5E63" w:rsidR="00FD2C59" w:rsidRPr="00FD2C59" w:rsidRDefault="00FD2C59" w:rsidP="00FD2C59">
      <w:pPr>
        <w:rPr>
          <w:b/>
          <w:bCs/>
        </w:rPr>
      </w:pPr>
      <w:r w:rsidRPr="00FD2C59">
        <w:rPr>
          <w:b/>
          <w:bCs/>
        </w:rPr>
        <w:t>3.1 Overall System Methodology</w:t>
      </w:r>
    </w:p>
    <w:p w14:paraId="4BDB421C" w14:textId="77777777" w:rsidR="00FD2C59" w:rsidRPr="00FD2C59" w:rsidRDefault="00FD2C59" w:rsidP="00FD2C59">
      <w:r>
        <w:t>The system accepts a Wokwi-compatible telemetry payload containing deviceId, energyConsumed, and timestamp. User-facing requests are governed by JWT, role, and ownership checks; device telemetry uses a device-bound token. The Ingestion Service validates the telemetry contract before publishing energy-usage events to Kafka.</w:t>
      </w:r>
    </w:p>
    <w:p w14:paraId="3583FAB3" w14:textId="77777777" w:rsidR="00FD2C59" w:rsidRPr="00FD2C59" w:rsidRDefault="00FD2C59" w:rsidP="00FD2C59">
      <w:r>
        <w:t>The Usage Service consumes energy-usage events and records time-stamped usage together with defined-period aggregates. InfluxDB stores time-series usage, whereas MySQL stores household, device, and alert state. The baseline inference service consumes the appropriate event type and returns anomaly results. The Alert Service implements threshold and anomaly pathways with a configured 15-minute deduplication window. Prometheus and Grafana provide service observation.</w:t>
      </w:r>
    </w:p>
    <w:p w14:paraId="2335664B" w14:textId="77777777" w:rsidR="00FD2C59" w:rsidRPr="00FD2C59" w:rsidRDefault="00FD2C59" w:rsidP="00FD2C59">
      <w:r>
        <w:t>Architecture implementation, historical-baseline reproduction, live interface testing, and REFIT preprocessing are treated as separate evidence streams. This prevents a successful service response or one inference result from being counted as an accuracy, reliability, or alert-correctness result.</w:t>
      </w:r>
    </w:p>
    <w:p w14:paraId="52A206BD" w14:textId="77777777" w:rsidR="00FD2C59" w:rsidRPr="00FD2C59" w:rsidRDefault="00FD2C59" w:rsidP="00FD2C59">
      <w:pPr>
        <w:rPr>
          <w:b/>
          <w:bCs/>
        </w:rPr>
      </w:pPr>
      <w:r w:rsidRPr="00FD2C59">
        <w:rPr>
          <w:b/>
          <w:bCs/>
        </w:rPr>
        <w:t>3.2 Proposed System Architecture</w:t>
      </w:r>
    </w:p>
    <w:p w14:paraId="2CE9630B" w14:textId="6494D684" w:rsidR="00FD2C59" w:rsidRPr="00FD2C59" w:rsidRDefault="00FD2C59" w:rsidP="00FD2C59">
      <w:r w:rsidRPr="00FD2C59">
        <w:rPr>
          <w:noProof/>
        </w:rPr>
        <w:drawing>
          <wp:inline distT="0" distB="0" distL="0" distR="0" wp14:anchorId="1B60709C" wp14:editId="5F51EA42">
            <wp:extent cx="5532120" cy="2918460"/>
            <wp:effectExtent l="0" t="0" r="0" b="0"/>
            <wp:docPr id="1712694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2120" cy="2918460"/>
                    </a:xfrm>
                    <a:prstGeom prst="rect">
                      <a:avLst/>
                    </a:prstGeom>
                    <a:noFill/>
                    <a:ln>
                      <a:noFill/>
                    </a:ln>
                  </pic:spPr>
                </pic:pic>
              </a:graphicData>
            </a:graphic>
          </wp:inline>
        </w:drawing>
      </w:r>
    </w:p>
    <w:p w14:paraId="1089636F" w14:textId="77777777" w:rsidR="00FD2C59" w:rsidRPr="00FD2C59" w:rsidRDefault="00FD2C59" w:rsidP="00FD2C59">
      <w:r>
        <w:t>Figure 1 presents the implemented Home Energy Tracker architecture and the separately prepared, but not runtime-connected, REFIT branch.</w:t>
      </w:r>
    </w:p>
    <w:p w14:paraId="01B842EA" w14:textId="77777777" w:rsidR="00FD2C59" w:rsidRPr="00FD2C59" w:rsidRDefault="00FD2C59" w:rsidP="00FD2C59">
      <w:r>
        <w:t>The solid path runs from simulator-compatible telemetry through gateway admission, ingestion, Kafka, usage aggregation, time-series storage, baseline inference, alert processing, relational state, and observability. The dashed REFIT path represents preparation for isolated provisioning, replay, reconciliation, and labelled evaluation; those stages have not yet been completed.</w:t>
      </w:r>
    </w:p>
    <w:p w14:paraId="14EBB738" w14:textId="77777777" w:rsidR="00FD2C59" w:rsidRPr="00245F34" w:rsidRDefault="00FD2C59" w:rsidP="00245F34">
      <w:pPr>
        <w:jc w:val="center"/>
        <w:rPr>
          <w:sz w:val="21"/>
          <w:szCs w:val="21"/>
        </w:rPr>
      </w:pPr>
      <w:r>
        <w:rPr>
          <w:b/>
          <w:bCs/>
          <w:sz w:val="21"/>
          <w:szCs w:val="21"/>
        </w:rPr>
        <w:t>Table II. System components and evidence boundaries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0"/>
        <w:gridCol w:w="4333"/>
        <w:gridCol w:w="3147"/>
      </w:tblGrid>
      <w:tr w:rsidR="00FD2C59" w:rsidRPr="00FD2C59" w14:paraId="776E1792"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31E09944" w14:textId="77777777" w:rsidR="00FD2C59" w:rsidRPr="00FD2C59" w:rsidRDefault="00FD2C59" w:rsidP="00FD2C59">
            <w:r w:rsidRPr="00FD2C59">
              <w:rPr>
                <w:b/>
                <w:bCs/>
              </w:rPr>
              <w:t>Component</w:t>
            </w:r>
          </w:p>
        </w:tc>
        <w:tc>
          <w:tcPr>
            <w:tcW w:w="2250" w:type="dxa"/>
            <w:tcBorders>
              <w:top w:val="single" w:sz="6" w:space="0" w:color="E0E0E0"/>
              <w:left w:val="single" w:sz="6" w:space="0" w:color="E0E0E0"/>
              <w:bottom w:val="single" w:sz="6" w:space="0" w:color="E0E0E0"/>
              <w:right w:val="single" w:sz="6" w:space="0" w:color="E0E0E0"/>
            </w:tcBorders>
            <w:hideMark/>
          </w:tcPr>
          <w:p w14:paraId="10649FD8" w14:textId="77777777" w:rsidR="00FD2C59" w:rsidRPr="00FD2C59" w:rsidRDefault="00FD2C59" w:rsidP="00FD2C59">
            <w:r w:rsidRPr="00FD2C59">
              <w:rPr>
                <w:b/>
                <w:bCs/>
              </w:rPr>
              <w:t>Implemented behaviour</w:t>
            </w:r>
          </w:p>
        </w:tc>
        <w:tc>
          <w:tcPr>
            <w:tcW w:w="2250" w:type="dxa"/>
            <w:tcBorders>
              <w:top w:val="single" w:sz="6" w:space="0" w:color="E0E0E0"/>
              <w:left w:val="single" w:sz="6" w:space="0" w:color="E0E0E0"/>
              <w:bottom w:val="single" w:sz="6" w:space="0" w:color="E0E0E0"/>
              <w:right w:val="single" w:sz="6" w:space="0" w:color="E0E0E0"/>
            </w:tcBorders>
            <w:hideMark/>
          </w:tcPr>
          <w:p w14:paraId="7F54E8A6" w14:textId="77777777" w:rsidR="00FD2C59" w:rsidRPr="00FD2C59" w:rsidRDefault="00FD2C59" w:rsidP="00FD2C59">
            <w:r w:rsidRPr="00FD2C59">
              <w:rPr>
                <w:b/>
                <w:bCs/>
              </w:rPr>
              <w:t>Evidence boundary</w:t>
            </w:r>
          </w:p>
        </w:tc>
      </w:tr>
      <w:tr w:rsidR="00FD2C59" w:rsidRPr="00FD2C59" w14:paraId="0C644789" w14:textId="77777777">
        <w:trPr>
          <w:trHeight w:val="540"/>
        </w:trPr>
        <w:tc>
          <w:tcPr>
            <w:tcW w:w="0" w:type="auto"/>
            <w:tcBorders>
              <w:top w:val="nil"/>
              <w:left w:val="single" w:sz="6" w:space="0" w:color="E0E0E0"/>
              <w:bottom w:val="single" w:sz="6" w:space="0" w:color="E0E0E0"/>
              <w:right w:val="single" w:sz="6" w:space="0" w:color="E0E0E0"/>
            </w:tcBorders>
            <w:hideMark/>
          </w:tcPr>
          <w:p w14:paraId="558B3233" w14:textId="77777777" w:rsidR="00FD2C59" w:rsidRPr="00245F34" w:rsidRDefault="00FD2C59" w:rsidP="00FD2C59">
            <w:pPr>
              <w:rPr>
                <w:sz w:val="19"/>
                <w:szCs w:val="19"/>
              </w:rPr>
            </w:pPr>
            <w:r w:rsidRPr="00245F34">
              <w:rPr>
                <w:sz w:val="19"/>
                <w:szCs w:val="19"/>
              </w:rPr>
              <w:t>Admission</w:t>
            </w:r>
          </w:p>
        </w:tc>
        <w:tc>
          <w:tcPr>
            <w:tcW w:w="0" w:type="auto"/>
            <w:tcBorders>
              <w:top w:val="nil"/>
              <w:left w:val="single" w:sz="6" w:space="0" w:color="E0E0E0"/>
              <w:bottom w:val="single" w:sz="6" w:space="0" w:color="E0E0E0"/>
              <w:right w:val="single" w:sz="6" w:space="0" w:color="E0E0E0"/>
            </w:tcBorders>
            <w:hideMark/>
          </w:tcPr>
          <w:p w14:paraId="5811B999" w14:textId="77777777" w:rsidR="00FD2C59" w:rsidRPr="00245F34" w:rsidRDefault="00FD2C59" w:rsidP="00FD2C59">
            <w:pPr>
              <w:rPr>
                <w:sz w:val="19"/>
                <w:szCs w:val="19"/>
              </w:rPr>
            </w:pPr>
            <w:proofErr w:type="spellStart"/>
            <w:r w:rsidRPr="00245F34">
              <w:rPr>
                <w:sz w:val="19"/>
                <w:szCs w:val="19"/>
              </w:rPr>
              <w:t>Keycloak</w:t>
            </w:r>
            <w:proofErr w:type="spellEnd"/>
            <w:r w:rsidRPr="00245F34">
              <w:rPr>
                <w:sz w:val="19"/>
                <w:szCs w:val="19"/>
              </w:rPr>
              <w:t>-backed user routes and device-token telemetry admission at the gateway.</w:t>
            </w:r>
          </w:p>
        </w:tc>
        <w:tc>
          <w:tcPr>
            <w:tcW w:w="0" w:type="auto"/>
            <w:tcBorders>
              <w:top w:val="nil"/>
              <w:left w:val="single" w:sz="6" w:space="0" w:color="E0E0E0"/>
              <w:bottom w:val="single" w:sz="6" w:space="0" w:color="E0E0E0"/>
              <w:right w:val="single" w:sz="6" w:space="0" w:color="E0E0E0"/>
            </w:tcBorders>
            <w:hideMark/>
          </w:tcPr>
          <w:p w14:paraId="3B0A1213" w14:textId="77777777" w:rsidR="00FD2C59" w:rsidRPr="00245F34" w:rsidRDefault="00FD2C59" w:rsidP="00FD2C59">
            <w:pPr>
              <w:rPr>
                <w:sz w:val="19"/>
                <w:szCs w:val="19"/>
              </w:rPr>
            </w:pPr>
            <w:r w:rsidRPr="00245F34">
              <w:rPr>
                <w:sz w:val="19"/>
                <w:szCs w:val="19"/>
              </w:rPr>
              <w:t>Functional architecture and some authorization controls; no production security evaluation.</w:t>
            </w:r>
          </w:p>
        </w:tc>
      </w:tr>
      <w:tr w:rsidR="00FD2C59" w:rsidRPr="00FD2C59" w14:paraId="13D65CD3" w14:textId="77777777">
        <w:trPr>
          <w:trHeight w:val="540"/>
        </w:trPr>
        <w:tc>
          <w:tcPr>
            <w:tcW w:w="0" w:type="auto"/>
            <w:tcBorders>
              <w:top w:val="nil"/>
              <w:left w:val="single" w:sz="6" w:space="0" w:color="E0E0E0"/>
              <w:bottom w:val="single" w:sz="6" w:space="0" w:color="E0E0E0"/>
              <w:right w:val="single" w:sz="6" w:space="0" w:color="E0E0E0"/>
            </w:tcBorders>
            <w:hideMark/>
          </w:tcPr>
          <w:p w14:paraId="7E190412" w14:textId="77777777" w:rsidR="00FD2C59" w:rsidRPr="00245F34" w:rsidRDefault="00FD2C59" w:rsidP="00FD2C59">
            <w:pPr>
              <w:rPr>
                <w:sz w:val="19"/>
                <w:szCs w:val="19"/>
              </w:rPr>
            </w:pPr>
            <w:r w:rsidRPr="00245F34">
              <w:rPr>
                <w:sz w:val="19"/>
                <w:szCs w:val="19"/>
              </w:rPr>
              <w:t>Brokering and ingestion</w:t>
            </w:r>
          </w:p>
        </w:tc>
        <w:tc>
          <w:tcPr>
            <w:tcW w:w="0" w:type="auto"/>
            <w:tcBorders>
              <w:top w:val="nil"/>
              <w:left w:val="single" w:sz="6" w:space="0" w:color="E0E0E0"/>
              <w:bottom w:val="single" w:sz="6" w:space="0" w:color="E0E0E0"/>
              <w:right w:val="single" w:sz="6" w:space="0" w:color="E0E0E0"/>
            </w:tcBorders>
            <w:hideMark/>
          </w:tcPr>
          <w:p w14:paraId="20BE1450" w14:textId="77777777" w:rsidR="00FD2C59" w:rsidRPr="00245F34" w:rsidRDefault="00FD2C59" w:rsidP="00FD2C59">
            <w:pPr>
              <w:rPr>
                <w:sz w:val="19"/>
                <w:szCs w:val="19"/>
              </w:rPr>
            </w:pPr>
            <w:r w:rsidRPr="00245F34">
              <w:rPr>
                <w:sz w:val="19"/>
                <w:szCs w:val="19"/>
              </w:rPr>
              <w:t>Ingestion validates telemetry and publishes Kafka energy-usage events.</w:t>
            </w:r>
          </w:p>
        </w:tc>
        <w:tc>
          <w:tcPr>
            <w:tcW w:w="0" w:type="auto"/>
            <w:tcBorders>
              <w:top w:val="nil"/>
              <w:left w:val="single" w:sz="6" w:space="0" w:color="E0E0E0"/>
              <w:bottom w:val="single" w:sz="6" w:space="0" w:color="E0E0E0"/>
              <w:right w:val="single" w:sz="6" w:space="0" w:color="E0E0E0"/>
            </w:tcBorders>
            <w:hideMark/>
          </w:tcPr>
          <w:p w14:paraId="371DF896" w14:textId="77777777" w:rsidR="00FD2C59" w:rsidRPr="00245F34" w:rsidRDefault="00FD2C59" w:rsidP="00FD2C59">
            <w:pPr>
              <w:rPr>
                <w:sz w:val="19"/>
                <w:szCs w:val="19"/>
              </w:rPr>
            </w:pPr>
            <w:r w:rsidRPr="00245F34">
              <w:rPr>
                <w:sz w:val="19"/>
                <w:szCs w:val="19"/>
              </w:rPr>
              <w:t>Historical/local event-path evidence; no REFIT replay has been run.</w:t>
            </w:r>
          </w:p>
        </w:tc>
      </w:tr>
      <w:tr w:rsidR="00FD2C59" w:rsidRPr="00FD2C59" w14:paraId="690ACDB5" w14:textId="77777777">
        <w:trPr>
          <w:trHeight w:val="540"/>
        </w:trPr>
        <w:tc>
          <w:tcPr>
            <w:tcW w:w="0" w:type="auto"/>
            <w:tcBorders>
              <w:top w:val="nil"/>
              <w:left w:val="single" w:sz="6" w:space="0" w:color="E0E0E0"/>
              <w:bottom w:val="single" w:sz="6" w:space="0" w:color="E0E0E0"/>
              <w:right w:val="single" w:sz="6" w:space="0" w:color="E0E0E0"/>
            </w:tcBorders>
            <w:hideMark/>
          </w:tcPr>
          <w:p w14:paraId="21B3C553" w14:textId="77777777" w:rsidR="00FD2C59" w:rsidRPr="00245F34" w:rsidRDefault="00FD2C59" w:rsidP="00FD2C59">
            <w:pPr>
              <w:rPr>
                <w:sz w:val="19"/>
                <w:szCs w:val="19"/>
              </w:rPr>
            </w:pPr>
            <w:r w:rsidRPr="00245F34">
              <w:rPr>
                <w:sz w:val="19"/>
                <w:szCs w:val="19"/>
              </w:rPr>
              <w:t>Storage and usage</w:t>
            </w:r>
          </w:p>
        </w:tc>
        <w:tc>
          <w:tcPr>
            <w:tcW w:w="0" w:type="auto"/>
            <w:tcBorders>
              <w:top w:val="nil"/>
              <w:left w:val="single" w:sz="6" w:space="0" w:color="E0E0E0"/>
              <w:bottom w:val="single" w:sz="6" w:space="0" w:color="E0E0E0"/>
              <w:right w:val="single" w:sz="6" w:space="0" w:color="E0E0E0"/>
            </w:tcBorders>
            <w:hideMark/>
          </w:tcPr>
          <w:p w14:paraId="08A5BD40" w14:textId="77777777" w:rsidR="00FD2C59" w:rsidRPr="00245F34" w:rsidRDefault="00FD2C59" w:rsidP="00FD2C59">
            <w:pPr>
              <w:rPr>
                <w:sz w:val="19"/>
                <w:szCs w:val="19"/>
              </w:rPr>
            </w:pPr>
            <w:r w:rsidRPr="00245F34">
              <w:rPr>
                <w:sz w:val="19"/>
                <w:szCs w:val="19"/>
              </w:rPr>
              <w:t xml:space="preserve">Usage aggregation writes time-stamped usage to </w:t>
            </w:r>
            <w:proofErr w:type="spellStart"/>
            <w:r w:rsidRPr="00245F34">
              <w:rPr>
                <w:sz w:val="19"/>
                <w:szCs w:val="19"/>
              </w:rPr>
              <w:t>InfluxDB</w:t>
            </w:r>
            <w:proofErr w:type="spellEnd"/>
            <w:r w:rsidRPr="00245F34">
              <w:rPr>
                <w:sz w:val="19"/>
                <w:szCs w:val="19"/>
              </w:rPr>
              <w:t>; household, device, and alert state are retained in MySQL.</w:t>
            </w:r>
          </w:p>
        </w:tc>
        <w:tc>
          <w:tcPr>
            <w:tcW w:w="0" w:type="auto"/>
            <w:tcBorders>
              <w:top w:val="nil"/>
              <w:left w:val="single" w:sz="6" w:space="0" w:color="E0E0E0"/>
              <w:bottom w:val="single" w:sz="6" w:space="0" w:color="E0E0E0"/>
              <w:right w:val="single" w:sz="6" w:space="0" w:color="E0E0E0"/>
            </w:tcBorders>
            <w:hideMark/>
          </w:tcPr>
          <w:p w14:paraId="5959E749" w14:textId="77777777" w:rsidR="00FD2C59" w:rsidRPr="00245F34" w:rsidRDefault="00FD2C59" w:rsidP="00FD2C59">
            <w:pPr>
              <w:rPr>
                <w:sz w:val="19"/>
                <w:szCs w:val="19"/>
              </w:rPr>
            </w:pPr>
            <w:r w:rsidRPr="00245F34">
              <w:rPr>
                <w:sz w:val="19"/>
                <w:szCs w:val="19"/>
              </w:rPr>
              <w:t>Component and historical integration evidence; no utility-bill verification.</w:t>
            </w:r>
          </w:p>
        </w:tc>
      </w:tr>
      <w:tr w:rsidR="00FD2C59" w:rsidRPr="00FD2C59" w14:paraId="14BBCDBC" w14:textId="77777777">
        <w:trPr>
          <w:trHeight w:val="540"/>
        </w:trPr>
        <w:tc>
          <w:tcPr>
            <w:tcW w:w="0" w:type="auto"/>
            <w:tcBorders>
              <w:top w:val="nil"/>
              <w:left w:val="single" w:sz="6" w:space="0" w:color="E0E0E0"/>
              <w:bottom w:val="single" w:sz="6" w:space="0" w:color="E0E0E0"/>
              <w:right w:val="single" w:sz="6" w:space="0" w:color="E0E0E0"/>
            </w:tcBorders>
            <w:hideMark/>
          </w:tcPr>
          <w:p w14:paraId="5E829210" w14:textId="77777777" w:rsidR="00FD2C59" w:rsidRPr="00245F34" w:rsidRDefault="00FD2C59" w:rsidP="00FD2C59">
            <w:pPr>
              <w:rPr>
                <w:sz w:val="19"/>
                <w:szCs w:val="19"/>
              </w:rPr>
            </w:pPr>
            <w:r w:rsidRPr="00245F34">
              <w:rPr>
                <w:sz w:val="19"/>
                <w:szCs w:val="19"/>
              </w:rPr>
              <w:t>Baseline inference</w:t>
            </w:r>
          </w:p>
        </w:tc>
        <w:tc>
          <w:tcPr>
            <w:tcW w:w="0" w:type="auto"/>
            <w:tcBorders>
              <w:top w:val="nil"/>
              <w:left w:val="single" w:sz="6" w:space="0" w:color="E0E0E0"/>
              <w:bottom w:val="single" w:sz="6" w:space="0" w:color="E0E0E0"/>
              <w:right w:val="single" w:sz="6" w:space="0" w:color="E0E0E0"/>
            </w:tcBorders>
            <w:hideMark/>
          </w:tcPr>
          <w:p w14:paraId="522A4C93" w14:textId="77777777" w:rsidR="00FD2C59" w:rsidRPr="00245F34" w:rsidRDefault="00FD2C59" w:rsidP="00FD2C59">
            <w:pPr>
              <w:rPr>
                <w:sz w:val="19"/>
                <w:szCs w:val="19"/>
              </w:rPr>
            </w:pPr>
            <w:r w:rsidRPr="00245F34">
              <w:rPr>
                <w:sz w:val="19"/>
                <w:szCs w:val="19"/>
              </w:rPr>
              <w:t xml:space="preserve">A </w:t>
            </w:r>
            <w:proofErr w:type="spellStart"/>
            <w:r w:rsidRPr="00245F34">
              <w:rPr>
                <w:sz w:val="19"/>
                <w:szCs w:val="19"/>
              </w:rPr>
              <w:t>FastAPI</w:t>
            </w:r>
            <w:proofErr w:type="spellEnd"/>
            <w:r w:rsidRPr="00245F34">
              <w:rPr>
                <w:sz w:val="19"/>
                <w:szCs w:val="19"/>
              </w:rPr>
              <w:t xml:space="preserve"> service loads the fixed Random Forest and returns anomaly results.</w:t>
            </w:r>
          </w:p>
        </w:tc>
        <w:tc>
          <w:tcPr>
            <w:tcW w:w="0" w:type="auto"/>
            <w:tcBorders>
              <w:top w:val="nil"/>
              <w:left w:val="single" w:sz="6" w:space="0" w:color="E0E0E0"/>
              <w:bottom w:val="single" w:sz="6" w:space="0" w:color="E0E0E0"/>
              <w:right w:val="single" w:sz="6" w:space="0" w:color="E0E0E0"/>
            </w:tcBorders>
            <w:hideMark/>
          </w:tcPr>
          <w:p w14:paraId="3BC8784C" w14:textId="77777777" w:rsidR="00FD2C59" w:rsidRPr="00245F34" w:rsidRDefault="00FD2C59" w:rsidP="00FD2C59">
            <w:pPr>
              <w:rPr>
                <w:sz w:val="19"/>
                <w:szCs w:val="19"/>
              </w:rPr>
            </w:pPr>
            <w:r w:rsidRPr="00245F34">
              <w:rPr>
                <w:sz w:val="19"/>
                <w:szCs w:val="19"/>
              </w:rPr>
              <w:t>REFIT accuracy is not established by historical-dataset evaluation or a live smoke test.</w:t>
            </w:r>
          </w:p>
        </w:tc>
      </w:tr>
      <w:tr w:rsidR="00FD2C59" w:rsidRPr="00FD2C59" w14:paraId="25B82FA8" w14:textId="77777777">
        <w:trPr>
          <w:trHeight w:val="540"/>
        </w:trPr>
        <w:tc>
          <w:tcPr>
            <w:tcW w:w="0" w:type="auto"/>
            <w:tcBorders>
              <w:top w:val="nil"/>
              <w:left w:val="single" w:sz="6" w:space="0" w:color="E0E0E0"/>
              <w:bottom w:val="single" w:sz="6" w:space="0" w:color="E0E0E0"/>
              <w:right w:val="single" w:sz="6" w:space="0" w:color="E0E0E0"/>
            </w:tcBorders>
            <w:hideMark/>
          </w:tcPr>
          <w:p w14:paraId="03D05BC6" w14:textId="77777777" w:rsidR="00FD2C59" w:rsidRPr="00245F34" w:rsidRDefault="00FD2C59" w:rsidP="00FD2C59">
            <w:pPr>
              <w:rPr>
                <w:sz w:val="19"/>
                <w:szCs w:val="19"/>
              </w:rPr>
            </w:pPr>
            <w:r w:rsidRPr="00245F34">
              <w:rPr>
                <w:sz w:val="19"/>
                <w:szCs w:val="19"/>
              </w:rPr>
              <w:t>Alerting and monitoring</w:t>
            </w:r>
          </w:p>
        </w:tc>
        <w:tc>
          <w:tcPr>
            <w:tcW w:w="0" w:type="auto"/>
            <w:tcBorders>
              <w:top w:val="nil"/>
              <w:left w:val="single" w:sz="6" w:space="0" w:color="E0E0E0"/>
              <w:bottom w:val="single" w:sz="6" w:space="0" w:color="E0E0E0"/>
              <w:right w:val="single" w:sz="6" w:space="0" w:color="E0E0E0"/>
            </w:tcBorders>
            <w:hideMark/>
          </w:tcPr>
          <w:p w14:paraId="6B5D706D" w14:textId="77777777" w:rsidR="00FD2C59" w:rsidRPr="00245F34" w:rsidRDefault="00FD2C59" w:rsidP="00FD2C59">
            <w:pPr>
              <w:rPr>
                <w:sz w:val="19"/>
                <w:szCs w:val="19"/>
              </w:rPr>
            </w:pPr>
            <w:r w:rsidRPr="00245F34">
              <w:rPr>
                <w:sz w:val="19"/>
                <w:szCs w:val="19"/>
              </w:rPr>
              <w:t>Threshold/anomaly paths reach Alert Service; a 15 min deduplication window and Prometheus/Grafana observation are configured.</w:t>
            </w:r>
          </w:p>
        </w:tc>
        <w:tc>
          <w:tcPr>
            <w:tcW w:w="0" w:type="auto"/>
            <w:tcBorders>
              <w:top w:val="nil"/>
              <w:left w:val="single" w:sz="6" w:space="0" w:color="E0E0E0"/>
              <w:bottom w:val="single" w:sz="6" w:space="0" w:color="E0E0E0"/>
              <w:right w:val="single" w:sz="6" w:space="0" w:color="E0E0E0"/>
            </w:tcBorders>
            <w:hideMark/>
          </w:tcPr>
          <w:p w14:paraId="7AAEF9F5" w14:textId="77777777" w:rsidR="00FD2C59" w:rsidRPr="00245F34" w:rsidRDefault="00FD2C59" w:rsidP="00FD2C59">
            <w:pPr>
              <w:rPr>
                <w:sz w:val="19"/>
                <w:szCs w:val="19"/>
              </w:rPr>
            </w:pPr>
            <w:r w:rsidRPr="00245F34">
              <w:rPr>
                <w:sz w:val="19"/>
                <w:szCs w:val="19"/>
              </w:rPr>
              <w:t>Historical local evidence exists; fault and replay tests after isolation remain pending.</w:t>
            </w:r>
          </w:p>
        </w:tc>
      </w:tr>
      <w:tr w:rsidR="00FD2C59" w:rsidRPr="00FD2C59" w14:paraId="52CCBC25" w14:textId="77777777">
        <w:trPr>
          <w:trHeight w:val="540"/>
        </w:trPr>
        <w:tc>
          <w:tcPr>
            <w:tcW w:w="0" w:type="auto"/>
            <w:tcBorders>
              <w:top w:val="nil"/>
              <w:left w:val="single" w:sz="6" w:space="0" w:color="E0E0E0"/>
              <w:bottom w:val="single" w:sz="6" w:space="0" w:color="E0E0E0"/>
              <w:right w:val="single" w:sz="6" w:space="0" w:color="E0E0E0"/>
            </w:tcBorders>
            <w:hideMark/>
          </w:tcPr>
          <w:p w14:paraId="2608F90E" w14:textId="77777777" w:rsidR="00FD2C59" w:rsidRPr="00245F34" w:rsidRDefault="00FD2C59" w:rsidP="00FD2C59">
            <w:pPr>
              <w:rPr>
                <w:sz w:val="19"/>
                <w:szCs w:val="19"/>
              </w:rPr>
            </w:pPr>
            <w:r w:rsidRPr="00245F34">
              <w:rPr>
                <w:sz w:val="19"/>
                <w:szCs w:val="19"/>
              </w:rPr>
              <w:t>REFIT data path</w:t>
            </w:r>
          </w:p>
        </w:tc>
        <w:tc>
          <w:tcPr>
            <w:tcW w:w="0" w:type="auto"/>
            <w:tcBorders>
              <w:top w:val="nil"/>
              <w:left w:val="single" w:sz="6" w:space="0" w:color="E0E0E0"/>
              <w:bottom w:val="single" w:sz="6" w:space="0" w:color="E0E0E0"/>
              <w:right w:val="single" w:sz="6" w:space="0" w:color="E0E0E0"/>
            </w:tcBorders>
            <w:hideMark/>
          </w:tcPr>
          <w:p w14:paraId="41474A54" w14:textId="77777777" w:rsidR="00FD2C59" w:rsidRPr="00245F34" w:rsidRDefault="00FD2C59" w:rsidP="00FD2C59">
            <w:pPr>
              <w:rPr>
                <w:sz w:val="19"/>
                <w:szCs w:val="19"/>
              </w:rPr>
            </w:pPr>
            <w:r w:rsidRPr="00245F34">
              <w:rPr>
                <w:sz w:val="19"/>
                <w:szCs w:val="19"/>
              </w:rPr>
              <w:t>Checksum-verified, normalised H1/H2/H4 artefacts are prepared separately.</w:t>
            </w:r>
          </w:p>
        </w:tc>
        <w:tc>
          <w:tcPr>
            <w:tcW w:w="0" w:type="auto"/>
            <w:tcBorders>
              <w:top w:val="nil"/>
              <w:left w:val="single" w:sz="6" w:space="0" w:color="E0E0E0"/>
              <w:bottom w:val="single" w:sz="6" w:space="0" w:color="E0E0E0"/>
              <w:right w:val="single" w:sz="6" w:space="0" w:color="E0E0E0"/>
            </w:tcBorders>
            <w:hideMark/>
          </w:tcPr>
          <w:p w14:paraId="66FB53DA" w14:textId="77777777" w:rsidR="00FD2C59" w:rsidRPr="00245F34" w:rsidRDefault="00FD2C59" w:rsidP="00FD2C59">
            <w:pPr>
              <w:rPr>
                <w:sz w:val="19"/>
                <w:szCs w:val="19"/>
              </w:rPr>
            </w:pPr>
            <w:r w:rsidRPr="00245F34">
              <w:rPr>
                <w:sz w:val="19"/>
                <w:szCs w:val="19"/>
              </w:rPr>
              <w:t>Device provisioning, ingestion, alert assessment, and tagged-anomaly evaluation are unfinished.</w:t>
            </w:r>
          </w:p>
        </w:tc>
      </w:tr>
    </w:tbl>
    <w:p w14:paraId="03699038" w14:textId="77777777" w:rsidR="00245F34" w:rsidRPr="00245F34" w:rsidRDefault="00245F34" w:rsidP="00FD2C59">
      <w:pPr>
        <w:rPr>
          <w:b/>
          <w:bCs/>
          <w:sz w:val="4"/>
          <w:szCs w:val="4"/>
        </w:rPr>
      </w:pPr>
    </w:p>
    <w:p w14:paraId="135AAB24" w14:textId="658A3D96" w:rsidR="00FD2C59" w:rsidRPr="00FD2C59" w:rsidRDefault="00FD2C59" w:rsidP="00FD2C59">
      <w:pPr>
        <w:rPr>
          <w:b/>
          <w:bCs/>
        </w:rPr>
      </w:pPr>
      <w:r w:rsidRPr="00FD2C59">
        <w:rPr>
          <w:b/>
          <w:bCs/>
        </w:rPr>
        <w:t>3.3 Identity, Admission, and Event Processing</w:t>
      </w:r>
    </w:p>
    <w:p w14:paraId="18643370" w14:textId="7A68AC16" w:rsidR="00FD2C59" w:rsidRPr="00FD2C59" w:rsidRDefault="00FD2C59" w:rsidP="00FD2C59">
      <w:r>
        <w:t>The gateway defines the API boundary: user-facing routes use JWTs with role and ownership checks, whereas simulator-compatible device telemetry uses a device-bound token. A REFIT household identifier is not assumed to equal a backend device identifier. Any future replay must provision households, devices, and credentials separately.</w:t>
      </w:r>
    </w:p>
    <w:p w14:paraId="5715FB5F" w14:textId="77777777" w:rsidR="00FD2C59" w:rsidRPr="00FD2C59" w:rsidRDefault="00FD2C59" w:rsidP="00FD2C59">
      <w:r>
        <w:t>After contract validation, energy-usage events are published to Kafka for downstream aggregation and baseline inference. Decoupling enables component-level inspection, but component availability or Kafka connectivity does not by itself prove end-to-end event reconciliation.</w:t>
      </w:r>
    </w:p>
    <w:p w14:paraId="01594162" w14:textId="77777777" w:rsidR="00FD2C59" w:rsidRPr="00FD2C59" w:rsidRDefault="00FD2C59" w:rsidP="00FD2C59">
      <w:pPr>
        <w:rPr>
          <w:b/>
          <w:bCs/>
        </w:rPr>
      </w:pPr>
      <w:r w:rsidRPr="00FD2C59">
        <w:rPr>
          <w:b/>
          <w:bCs/>
        </w:rPr>
        <w:t>3.4 Baseline Model and Alerting Boundary</w:t>
      </w:r>
    </w:p>
    <w:p w14:paraId="582E0638" w14:textId="77777777" w:rsidR="00FD2C59" w:rsidRPr="00FD2C59" w:rsidRDefault="00FD2C59" w:rsidP="00FD2C59">
      <w:r>
        <w:t>The retained Random Forest artefact, random_forest-csv-20261003T205417Z, uses Electricity_Consumed, Temperature, Humidity, Wind_Speed, Avg_Past_Consumption, Hour, DayOfWeek, and ConsumptionDeviation. The historical protocol uses a chronological split of 3,500 training, 750 validation, and 750 test records; the decision threshold is selected from validation F1.</w:t>
      </w:r>
    </w:p>
    <w:p w14:paraId="78B18655" w14:textId="77777777" w:rsidR="00FD2C59" w:rsidRPr="00FD2C59" w:rsidRDefault="00FD2C59" w:rsidP="00FD2C59">
      <w:r>
        <w:t>The model uses 300 trees, min_samples_leaf = 2, class_weight = balanced_subsample, random_state = 42, and a 0.31 threshold. For Wokwi-compatible payloads, four contextual inputs are median-imputed and temporal features are derived from the timestamp. The resulting response is an interface smoke test, not a statistical evaluation of the historical model.</w:t>
      </w:r>
    </w:p>
    <w:p w14:paraId="4D7B5713" w14:textId="77777777" w:rsidR="00FD2C59" w:rsidRPr="00FD2C59" w:rsidRDefault="00FD2C59" w:rsidP="00FD2C59">
      <w:r>
        <w:t>The Alert Service has a configured 15-minute deduplication window for threshold and anomaly pathways. No replay or fault experiment has yet established duplicate suppression, notification delivery, latency, recovery behaviour, or fault tolerance.</w:t>
      </w:r>
    </w:p>
    <w:p w14:paraId="0FC858D6" w14:textId="77777777" w:rsidR="00FD2C59" w:rsidRPr="00FD2C59" w:rsidRDefault="00FD2C59" w:rsidP="00FD2C59">
      <w:pPr>
        <w:rPr>
          <w:b/>
          <w:bCs/>
        </w:rPr>
      </w:pPr>
      <w:r w:rsidRPr="00FD2C59">
        <w:rPr>
          <w:b/>
          <w:bCs/>
        </w:rPr>
        <w:t>3.5 REFIT Preprocessing &amp; Interval-Energy Estimation</w:t>
      </w:r>
    </w:p>
    <w:p w14:paraId="1404B08F" w14:textId="77777777" w:rsidR="00FD2C59" w:rsidRPr="00FD2C59" w:rsidRDefault="00FD2C59" w:rsidP="00FD2C59">
      <w:r>
        <w:t>The five local cleaned REFIT files (H1, H2, H3, H4, and H11) were checked against the official Zenodo MD5 values. Aggregate total-house active power is expressed in watts. H1, H2, and H4 form the primary cohort, while H3 and H11 remain a solar-affected sensitivity cohort because no solar or net-export correction was applied. Source-file MD5 verification is distinct from the SHA-256 hash recorded for the derived primary output.</w:t>
      </w:r>
    </w:p>
    <w:p w14:paraId="12F614E0" w14:textId="77777777" w:rsidR="00FD2C59" w:rsidRPr="00FD2C59" w:rsidRDefault="00FD2C59" w:rsidP="00FD2C59">
      <w:r>
        <w:t>For each eligible pair of consecutive records, interval energy is estimated from the first aggregate-power sample and the actual elapsed time. The following formula preserves the documented method and units.</w:t>
      </w:r>
    </w:p>
    <w:p w14:paraId="058B8E53" w14:textId="03672EC3" w:rsidR="00FD2C59" w:rsidRPr="00FD2C59" w:rsidRDefault="00FD2C59" w:rsidP="00FD2C59">
      <w:r w:rsidRPr="00FD2C59">
        <w:rPr>
          <w:noProof/>
        </w:rPr>
        <w:drawing>
          <wp:inline distT="0" distB="0" distL="0" distR="0" wp14:anchorId="5DCCC618" wp14:editId="4C661602">
            <wp:extent cx="1409700" cy="403860"/>
            <wp:effectExtent l="0" t="0" r="0" b="0"/>
            <wp:docPr id="288532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9700" cy="403860"/>
                    </a:xfrm>
                    <a:prstGeom prst="rect">
                      <a:avLst/>
                    </a:prstGeom>
                    <a:noFill/>
                    <a:ln>
                      <a:noFill/>
                    </a:ln>
                  </pic:spPr>
                </pic:pic>
              </a:graphicData>
            </a:graphic>
          </wp:inline>
        </w:drawing>
      </w:r>
    </w:p>
    <w:p w14:paraId="55DFBB6D" w14:textId="77777777" w:rsidR="00FD2C59" w:rsidRPr="00FD2C59" w:rsidRDefault="00FD2C59" w:rsidP="00FD2C59">
      <w:r>
        <w:t>Only intervals satisfying the condition below are retained.</w:t>
      </w:r>
    </w:p>
    <w:p w14:paraId="0326240F" w14:textId="022414BD" w:rsidR="00FD2C59" w:rsidRPr="00FD2C59" w:rsidRDefault="00FD2C59" w:rsidP="00FD2C59">
      <w:r w:rsidRPr="00FD2C59">
        <w:rPr>
          <w:noProof/>
        </w:rPr>
        <w:drawing>
          <wp:inline distT="0" distB="0" distL="0" distR="0" wp14:anchorId="13D8741E" wp14:editId="5F7E0F76">
            <wp:extent cx="1074420" cy="205740"/>
            <wp:effectExtent l="0" t="0" r="0" b="3810"/>
            <wp:docPr id="2118943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4420" cy="205740"/>
                    </a:xfrm>
                    <a:prstGeom prst="rect">
                      <a:avLst/>
                    </a:prstGeom>
                    <a:noFill/>
                    <a:ln>
                      <a:noFill/>
                    </a:ln>
                  </pic:spPr>
                </pic:pic>
              </a:graphicData>
            </a:graphic>
          </wp:inline>
        </w:drawing>
      </w:r>
    </w:p>
    <w:p w14:paraId="694216A8" w14:textId="77777777" w:rsidR="00FD2C59" w:rsidRPr="00FD2C59" w:rsidRDefault="00FD2C59" w:rsidP="00FD2C59">
      <w:r>
        <w:t>Cross-gap intervals are excluded rather than interpolated, filled, capped, or synthesised. Negative-power records are excluded from the combined interval-energy output but retained in the source audit. IQR flags are diagnostic only, and REFIT Issues values are treated as contextual information rather than anomaly labels.</w:t>
      </w:r>
    </w:p>
    <w:p w14:paraId="276C289D" w14:textId="77777777" w:rsidR="00FD2C59" w:rsidRPr="00FD2C59" w:rsidRDefault="00FD2C59" w:rsidP="00FD2C59">
      <w:pPr>
        <w:rPr>
          <w:b/>
          <w:bCs/>
        </w:rPr>
      </w:pPr>
      <w:r w:rsidRPr="00FD2C59">
        <w:rPr>
          <w:b/>
          <w:bCs/>
        </w:rPr>
        <w:t>3.6 Algorithmic Procedure for REFIT Normalisation</w:t>
      </w:r>
    </w:p>
    <w:p w14:paraId="7B5EE9FF" w14:textId="77777777" w:rsidR="00FD2C59" w:rsidRPr="00FD2C59" w:rsidRDefault="00FD2C59" w:rsidP="00FD2C59">
      <w:r w:rsidRPr="00FD2C59">
        <w:rPr>
          <w:b/>
          <w:bCs/>
        </w:rPr>
        <w:t>Algorithm 1. REFIT interval-energy normalisation</w:t>
      </w:r>
    </w:p>
    <w:p w14:paraId="0343C91C" w14:textId="0E32E393" w:rsidR="00FD2C59" w:rsidRPr="00FD2C59" w:rsidRDefault="00FD2C59" w:rsidP="00245F34">
      <w:pPr>
        <w:pStyle w:val="ListParagraph"/>
        <w:numPr>
          <w:ilvl w:val="0"/>
          <w:numId w:val="6"/>
        </w:numPr>
      </w:pPr>
      <w:r>
        <w:t>Input: a cleaned, verified REFIT household file for a selected 14-day period, checked against its MD5 checksum.</w:t>
      </w:r>
    </w:p>
    <w:p w14:paraId="5A86F92F" w14:textId="2A1CC371" w:rsidR="00FD2C59" w:rsidRPr="00FD2C59" w:rsidRDefault="00FD2C59" w:rsidP="00245F34">
      <w:pPr>
        <w:pStyle w:val="ListParagraph"/>
        <w:numPr>
          <w:ilvl w:val="0"/>
          <w:numId w:val="6"/>
        </w:numPr>
      </w:pPr>
      <w:r>
        <w:t>Sort records by preserved Unix timestamp and retain the associated Time value.</w:t>
      </w:r>
    </w:p>
    <w:p w14:paraId="07125AE5" w14:textId="16C11EF8" w:rsidR="00FD2C59" w:rsidRPr="00FD2C59" w:rsidRDefault="00FD2C59" w:rsidP="00245F34">
      <w:pPr>
        <w:pStyle w:val="ListParagraph"/>
        <w:numPr>
          <w:ilvl w:val="0"/>
          <w:numId w:val="6"/>
        </w:numPr>
      </w:pPr>
      <w:r>
        <w:t>Compute the actual elapsed interval Δt for every adjacent pair.</w:t>
      </w:r>
    </w:p>
    <w:p w14:paraId="6635AD00" w14:textId="417DAE00" w:rsidR="00FD2C59" w:rsidRPr="00FD2C59" w:rsidRDefault="00FD2C59" w:rsidP="00245F34">
      <w:pPr>
        <w:pStyle w:val="ListParagraph"/>
        <w:numPr>
          <w:ilvl w:val="0"/>
          <w:numId w:val="6"/>
        </w:numPr>
      </w:pPr>
      <w:r>
        <w:t>If 0 &lt; Δt_s ≤ 16 s and the first aggregate-power sample is non-negative, apply the left-rectangle/sample-hold rule to estimate interval energy.</w:t>
      </w:r>
    </w:p>
    <w:p w14:paraId="343AC07A" w14:textId="631EA864" w:rsidR="00FD2C59" w:rsidRPr="00FD2C59" w:rsidRDefault="00FD2C59" w:rsidP="00245F34">
      <w:pPr>
        <w:pStyle w:val="ListParagraph"/>
        <w:numPr>
          <w:ilvl w:val="0"/>
          <w:numId w:val="6"/>
        </w:numPr>
      </w:pPr>
      <w:r>
        <w:t>Otherwise, retain the source record for audit and record the interval in the excluded-record log; do not interpolate, cap, or synthesise values.</w:t>
      </w:r>
    </w:p>
    <w:p w14:paraId="4CF6DC3D" w14:textId="3F909774" w:rsidR="00FD2C59" w:rsidRPr="00FD2C59" w:rsidRDefault="00FD2C59" w:rsidP="00245F34">
      <w:pPr>
        <w:pStyle w:val="ListParagraph"/>
        <w:numPr>
          <w:ilvl w:val="0"/>
          <w:numId w:val="6"/>
        </w:numPr>
      </w:pPr>
      <w:r>
        <w:t>Produce the cleaned cohort, preprocessing summary, quality report, timestamp-interval report, and excluded-record log.</w:t>
      </w:r>
    </w:p>
    <w:p w14:paraId="356BFAC9" w14:textId="42CEA68B" w:rsidR="00FD2C59" w:rsidRPr="00FD2C59" w:rsidRDefault="00FD2C59" w:rsidP="00245F34">
      <w:pPr>
        <w:pStyle w:val="ListParagraph"/>
        <w:numPr>
          <w:ilvl w:val="0"/>
          <w:numId w:val="6"/>
        </w:numPr>
      </w:pPr>
      <w:r>
        <w:t>Create the H1/H2/H4 primary cohort and retain H3/H11 as a separate solar-affected sensitivity cohort.</w:t>
      </w:r>
    </w:p>
    <w:p w14:paraId="0A80B6B5" w14:textId="77777777" w:rsidR="00FD2C59" w:rsidRPr="00FD2C59" w:rsidRDefault="00FD2C59" w:rsidP="00FD2C59">
      <w:pPr>
        <w:rPr>
          <w:b/>
          <w:bCs/>
        </w:rPr>
      </w:pPr>
      <w:r w:rsidRPr="00FD2C59">
        <w:rPr>
          <w:b/>
          <w:bCs/>
        </w:rPr>
        <w:t>3.7 Evidence and Reproducibility Workflow</w:t>
      </w:r>
    </w:p>
    <w:p w14:paraId="06EDEE63" w14:textId="4ACB7520" w:rsidR="00FD2C59" w:rsidRPr="00FD2C59" w:rsidRDefault="00FD2C59" w:rsidP="00FD2C59">
      <w:r w:rsidRPr="00FD2C59">
        <w:rPr>
          <w:noProof/>
        </w:rPr>
        <w:drawing>
          <wp:inline distT="0" distB="0" distL="0" distR="0" wp14:anchorId="71EB5DDD" wp14:editId="56E28314">
            <wp:extent cx="5532120" cy="2461260"/>
            <wp:effectExtent l="0" t="0" r="0" b="0"/>
            <wp:docPr id="838218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2120" cy="2461260"/>
                    </a:xfrm>
                    <a:prstGeom prst="rect">
                      <a:avLst/>
                    </a:prstGeom>
                    <a:noFill/>
                    <a:ln>
                      <a:noFill/>
                    </a:ln>
                  </pic:spPr>
                </pic:pic>
              </a:graphicData>
            </a:graphic>
          </wp:inline>
        </w:drawing>
      </w:r>
    </w:p>
    <w:p w14:paraId="70DEFB04" w14:textId="77777777" w:rsidR="00FD2C59" w:rsidRPr="00FD2C59" w:rsidRDefault="00FD2C59" w:rsidP="00FD2C59">
      <w:r>
        <w:t>Figure 2. Evidence and reproducibility workflow. The REFIT runtime phase remains pending until isolated device provisioning, credential creation, pilot reconciliation, and verified evaluation are completed.</w:t>
      </w:r>
    </w:p>
    <w:p w14:paraId="3550CB5B" w14:textId="77777777" w:rsidR="00FD2C59" w:rsidRDefault="00FD2C59" w:rsidP="00FD2C59">
      <w:r>
        <w:t>The upper workflow records the historical 5,000-record protocol, validation-threshold selection, offline reproduction, and endpoint smoke-test boundary. The lower workflow records official REFIT verification, cohort separation, actual-delta normalisation, and byte-identical repeatability. The final stage is deliberately dashed because ingestion and anomaly evaluation have not yet occurred.</w:t>
      </w:r>
    </w:p>
    <w:p w14:paraId="05175E70" w14:textId="77777777" w:rsidR="00245F34" w:rsidRPr="00245F34" w:rsidRDefault="00245F34" w:rsidP="00FD2C59">
      <w:pPr>
        <w:rPr>
          <w:sz w:val="2"/>
          <w:szCs w:val="2"/>
        </w:rPr>
      </w:pPr>
    </w:p>
    <w:p w14:paraId="7796221F" w14:textId="77777777" w:rsidR="00FD2C59" w:rsidRPr="00245F34" w:rsidRDefault="00FD2C59" w:rsidP="00FD2C59">
      <w:pPr>
        <w:rPr>
          <w:b/>
          <w:bCs/>
          <w:sz w:val="28"/>
          <w:szCs w:val="28"/>
        </w:rPr>
      </w:pPr>
      <w:r w:rsidRPr="00245F34">
        <w:rPr>
          <w:b/>
          <w:bCs/>
          <w:sz w:val="28"/>
          <w:szCs w:val="28"/>
        </w:rPr>
        <w:lastRenderedPageBreak/>
        <w:t>4. Experimental Results and Discussion</w:t>
      </w:r>
    </w:p>
    <w:p w14:paraId="3796AF6E" w14:textId="77777777" w:rsidR="00245F34" w:rsidRPr="00245F34" w:rsidRDefault="00245F34" w:rsidP="00FD2C59">
      <w:pPr>
        <w:rPr>
          <w:b/>
          <w:bCs/>
          <w:sz w:val="2"/>
          <w:szCs w:val="2"/>
        </w:rPr>
      </w:pPr>
    </w:p>
    <w:p w14:paraId="55A7E4B7" w14:textId="6C8EA682" w:rsidR="00FD2C59" w:rsidRPr="00FD2C59" w:rsidRDefault="00FD2C59" w:rsidP="00FD2C59">
      <w:pPr>
        <w:rPr>
          <w:b/>
          <w:bCs/>
        </w:rPr>
      </w:pPr>
      <w:r w:rsidRPr="00FD2C59">
        <w:rPr>
          <w:b/>
          <w:bCs/>
        </w:rPr>
        <w:t>4.1 Experimental Conditions and Evidence Classes</w:t>
      </w:r>
    </w:p>
    <w:p w14:paraId="24FE1839" w14:textId="77777777" w:rsidR="00FD2C59" w:rsidRPr="00FD2C59" w:rsidRDefault="00FD2C59" w:rsidP="00FD2C59">
      <w:r>
        <w:t>The reported observations come from distinct evidence classes. The architecture identifies implemented services and event paths; the historical analysis concerns the supplied labelled CSV; offline reproduction checks whether the historical experiment can be repeated; and REFIT preprocessing checks source integrity and deterministic preparation. None of these observations alone is a new anomaly-accuracy result. In particular, a service response or repeated training run does not establish accurate operation on household data.</w:t>
      </w:r>
    </w:p>
    <w:p w14:paraId="42F41115" w14:textId="77777777" w:rsidR="00FD2C59" w:rsidRPr="00FD2C59" w:rsidRDefault="00FD2C59" w:rsidP="00FD2C59">
      <w:r>
        <w:t>The Windows laptop used for local work has 8 GB RAM and a Docker memory limit of 3.696 GiB; the observed main-stack requirement is approximately 2.89 GiB. The isolated REFIT provisioning stack should therefore not run concurrently with the main stack on this machine. This resource constraint is a deployment limitation, not evidence of scientific validation.</w:t>
      </w:r>
    </w:p>
    <w:p w14:paraId="28402C52" w14:textId="77777777" w:rsidR="00FD2C59" w:rsidRPr="00FD2C59" w:rsidRDefault="00FD2C59" w:rsidP="00FD2C59">
      <w:pPr>
        <w:rPr>
          <w:b/>
          <w:bCs/>
        </w:rPr>
      </w:pPr>
      <w:r w:rsidRPr="00FD2C59">
        <w:rPr>
          <w:b/>
          <w:bCs/>
        </w:rPr>
        <w:t>4.2 Software Components and Data Sources</w:t>
      </w:r>
    </w:p>
    <w:p w14:paraId="40F10986" w14:textId="77777777" w:rsidR="00FD2C59" w:rsidRPr="00FD2C59" w:rsidRDefault="00FD2C59" w:rsidP="00FD2C59">
      <w:r>
        <w:t>The local composition includes an API gateway, Keycloak, device-token admission, Kafka, InfluxDB, MySQL, a FastAPI Random Forest inference service, the Alert Service, Prometheus, and Grafana. Version numbers not established by the available evidence are not assumed. The legacy supervised CSV is repository material, whereas REFIT is an official recorded-household source with separate dataset records [5]–[7].</w:t>
      </w:r>
    </w:p>
    <w:p w14:paraId="7A073B4F" w14:textId="77777777" w:rsidR="00FD2C59" w:rsidRPr="00FD2C59" w:rsidRDefault="00FD2C59" w:rsidP="00FD2C59">
      <w:pPr>
        <w:rPr>
          <w:b/>
          <w:bCs/>
        </w:rPr>
      </w:pPr>
      <w:r w:rsidRPr="00FD2C59">
        <w:rPr>
          <w:b/>
          <w:bCs/>
        </w:rPr>
        <w:t>4.3 Historical Baseline Protocol</w:t>
      </w:r>
    </w:p>
    <w:p w14:paraId="027B398B" w14:textId="77777777" w:rsidR="00FD2C59" w:rsidRPr="00FD2C59" w:rsidRDefault="00FD2C59" w:rsidP="00FD2C59">
      <w:r>
        <w:t>The historical protocol evaluates the original Random Forest with a chronological 70/15/15 split: 3,500 training, 750 validation, and 750 test records. The threshold is selected using validation F1. The logistic-regression comparator uses the same held-out split with a threshold of 0.28.</w:t>
      </w:r>
    </w:p>
    <w:p w14:paraId="4C5B3614" w14:textId="77777777" w:rsidR="00FD2C59" w:rsidRPr="00FD2C59" w:rsidRDefault="00FD2C59" w:rsidP="00FD2C59">
      <w:pPr>
        <w:rPr>
          <w:b/>
          <w:bCs/>
        </w:rPr>
      </w:pPr>
      <w:r w:rsidRPr="00FD2C59">
        <w:rPr>
          <w:b/>
          <w:bCs/>
        </w:rPr>
        <w:t>4.4 Offline Reproduction and Live Smoke Test</w:t>
      </w:r>
    </w:p>
    <w:p w14:paraId="62367A07" w14:textId="77777777" w:rsidR="00FD2C59" w:rsidRPr="00FD2C59" w:rsidRDefault="00FD2C59" w:rsidP="00FD2C59">
      <w:r>
        <w:t>The deterministic trainer was run on the 5,000 copied historical records. All reported metric differences were zero, and the SHA-256 hash of the reproduced Random Forest artefact matched the legacy artefact, showing that the locally available historical experiment was reproduced. A separate Wokwi-compatible request used deviceId 1, energyConsumed = 0.55, and timestamp 2026-10-11T00:00:00Z. Its response tests model loading and payload handling only; it is not a latency, alert-delivery, deduplication, recovery, or accuracy test.</w:t>
      </w:r>
    </w:p>
    <w:p w14:paraId="5EF44A70" w14:textId="77777777" w:rsidR="00FD2C59" w:rsidRPr="00FD2C59" w:rsidRDefault="00FD2C59" w:rsidP="00FD2C59">
      <w:pPr>
        <w:rPr>
          <w:b/>
          <w:bCs/>
        </w:rPr>
      </w:pPr>
      <w:r w:rsidRPr="00FD2C59">
        <w:rPr>
          <w:b/>
          <w:bCs/>
        </w:rPr>
        <w:t>4.5 REFIT Data Configuration and Repeatability</w:t>
      </w:r>
    </w:p>
    <w:p w14:paraId="5CD89A1B" w14:textId="77777777" w:rsidR="00FD2C59" w:rsidRPr="00FD2C59" w:rsidRDefault="00FD2C59" w:rsidP="00FD2C59">
      <w:r>
        <w:t>The H1, H2, and H4 primary-cohort windows are reported in Table IV. The preprocessing pipeline was run twice with the same five validated source files, criteria, and configuration. Both artefact sets were byte-identical and included the cleaned primary and solar-sensitivity cohorts, manifest, excluded-record log, quality report, preprocessing summary, and timestamp-interval report.</w:t>
      </w:r>
    </w:p>
    <w:p w14:paraId="1CEAAE7A" w14:textId="77777777" w:rsidR="00DF6614" w:rsidRDefault="00DF6614" w:rsidP="00245F34">
      <w:pPr>
        <w:jc w:val="center"/>
        <w:rPr>
          <w:b/>
          <w:bCs/>
          <w:sz w:val="21"/>
          <w:szCs w:val="21"/>
        </w:rPr>
      </w:pPr>
    </w:p>
    <w:p w14:paraId="56F715D3" w14:textId="77777777" w:rsidR="00DF6614" w:rsidRDefault="00DF6614" w:rsidP="00245F34">
      <w:pPr>
        <w:jc w:val="center"/>
        <w:rPr>
          <w:b/>
          <w:bCs/>
          <w:sz w:val="21"/>
          <w:szCs w:val="21"/>
        </w:rPr>
      </w:pPr>
    </w:p>
    <w:p w14:paraId="72A03C8B" w14:textId="77777777" w:rsidR="00DF6614" w:rsidRDefault="00DF6614" w:rsidP="00245F34">
      <w:pPr>
        <w:jc w:val="center"/>
        <w:rPr>
          <w:b/>
          <w:bCs/>
          <w:sz w:val="21"/>
          <w:szCs w:val="21"/>
        </w:rPr>
      </w:pPr>
    </w:p>
    <w:p w14:paraId="7C9CDB77" w14:textId="600D2062" w:rsidR="00FD2C59" w:rsidRPr="00245F34" w:rsidRDefault="00FD2C59" w:rsidP="00245F34">
      <w:pPr>
        <w:jc w:val="center"/>
        <w:rPr>
          <w:sz w:val="21"/>
          <w:szCs w:val="21"/>
        </w:rPr>
      </w:pPr>
      <w:r>
        <w:rPr>
          <w:b/>
          <w:bCs/>
          <w:sz w:val="21"/>
          <w:szCs w:val="21"/>
        </w:rPr>
        <w:t>Table III. Historical baseline, offline reproduction, and live smoke-test evidence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38"/>
        <w:gridCol w:w="2463"/>
        <w:gridCol w:w="2834"/>
        <w:gridCol w:w="2375"/>
      </w:tblGrid>
      <w:tr w:rsidR="00FD2C59" w:rsidRPr="00FD2C59" w14:paraId="116D2632"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289C6662" w14:textId="77777777" w:rsidR="00FD2C59" w:rsidRPr="00FD2C59" w:rsidRDefault="00FD2C59" w:rsidP="00FD2C59">
            <w:r w:rsidRPr="00FD2C59">
              <w:rPr>
                <w:b/>
                <w:bCs/>
              </w:rPr>
              <w:t>Evidence item</w:t>
            </w:r>
          </w:p>
        </w:tc>
        <w:tc>
          <w:tcPr>
            <w:tcW w:w="2250" w:type="dxa"/>
            <w:tcBorders>
              <w:top w:val="single" w:sz="6" w:space="0" w:color="E0E0E0"/>
              <w:left w:val="single" w:sz="6" w:space="0" w:color="E0E0E0"/>
              <w:bottom w:val="single" w:sz="6" w:space="0" w:color="E0E0E0"/>
              <w:right w:val="single" w:sz="6" w:space="0" w:color="E0E0E0"/>
            </w:tcBorders>
            <w:hideMark/>
          </w:tcPr>
          <w:p w14:paraId="131084B6" w14:textId="77777777" w:rsidR="00FD2C59" w:rsidRPr="00FD2C59" w:rsidRDefault="00FD2C59" w:rsidP="00FD2C59">
            <w:r w:rsidRPr="00FD2C59">
              <w:rPr>
                <w:b/>
                <w:bCs/>
              </w:rPr>
              <w:t>Protocol</w:t>
            </w:r>
          </w:p>
        </w:tc>
        <w:tc>
          <w:tcPr>
            <w:tcW w:w="2250" w:type="dxa"/>
            <w:tcBorders>
              <w:top w:val="single" w:sz="6" w:space="0" w:color="E0E0E0"/>
              <w:left w:val="single" w:sz="6" w:space="0" w:color="E0E0E0"/>
              <w:bottom w:val="single" w:sz="6" w:space="0" w:color="E0E0E0"/>
              <w:right w:val="single" w:sz="6" w:space="0" w:color="E0E0E0"/>
            </w:tcBorders>
            <w:hideMark/>
          </w:tcPr>
          <w:p w14:paraId="7BBFFC0D" w14:textId="77777777" w:rsidR="00FD2C59" w:rsidRPr="00FD2C59" w:rsidRDefault="00FD2C59" w:rsidP="00FD2C59">
            <w:r w:rsidRPr="00FD2C59">
              <w:rPr>
                <w:b/>
                <w:bCs/>
              </w:rPr>
              <w:t>Observed result</w:t>
            </w:r>
          </w:p>
        </w:tc>
        <w:tc>
          <w:tcPr>
            <w:tcW w:w="2250" w:type="dxa"/>
            <w:tcBorders>
              <w:top w:val="single" w:sz="6" w:space="0" w:color="E0E0E0"/>
              <w:left w:val="single" w:sz="6" w:space="0" w:color="E0E0E0"/>
              <w:bottom w:val="single" w:sz="6" w:space="0" w:color="E0E0E0"/>
              <w:right w:val="single" w:sz="6" w:space="0" w:color="E0E0E0"/>
            </w:tcBorders>
            <w:hideMark/>
          </w:tcPr>
          <w:p w14:paraId="0F3578EF" w14:textId="77777777" w:rsidR="00FD2C59" w:rsidRPr="00FD2C59" w:rsidRDefault="00FD2C59" w:rsidP="00FD2C59">
            <w:r w:rsidRPr="00FD2C59">
              <w:rPr>
                <w:b/>
                <w:bCs/>
              </w:rPr>
              <w:t>Permissible interpretation</w:t>
            </w:r>
          </w:p>
        </w:tc>
      </w:tr>
      <w:tr w:rsidR="00FD2C59" w:rsidRPr="00FD2C59" w14:paraId="3E3833F1" w14:textId="77777777">
        <w:trPr>
          <w:trHeight w:val="540"/>
        </w:trPr>
        <w:tc>
          <w:tcPr>
            <w:tcW w:w="0" w:type="auto"/>
            <w:tcBorders>
              <w:top w:val="nil"/>
              <w:left w:val="single" w:sz="6" w:space="0" w:color="E0E0E0"/>
              <w:bottom w:val="single" w:sz="6" w:space="0" w:color="E0E0E0"/>
              <w:right w:val="single" w:sz="6" w:space="0" w:color="E0E0E0"/>
            </w:tcBorders>
            <w:hideMark/>
          </w:tcPr>
          <w:p w14:paraId="235EF693" w14:textId="77777777" w:rsidR="00FD2C59" w:rsidRPr="00245F34" w:rsidRDefault="00FD2C59" w:rsidP="00FD2C59">
            <w:pPr>
              <w:rPr>
                <w:sz w:val="19"/>
                <w:szCs w:val="19"/>
              </w:rPr>
            </w:pPr>
            <w:r w:rsidRPr="00245F34">
              <w:rPr>
                <w:sz w:val="19"/>
                <w:szCs w:val="19"/>
              </w:rPr>
              <w:t>Historical Random Forest</w:t>
            </w:r>
          </w:p>
        </w:tc>
        <w:tc>
          <w:tcPr>
            <w:tcW w:w="0" w:type="auto"/>
            <w:tcBorders>
              <w:top w:val="nil"/>
              <w:left w:val="single" w:sz="6" w:space="0" w:color="E0E0E0"/>
              <w:bottom w:val="single" w:sz="6" w:space="0" w:color="E0E0E0"/>
              <w:right w:val="single" w:sz="6" w:space="0" w:color="E0E0E0"/>
            </w:tcBorders>
            <w:hideMark/>
          </w:tcPr>
          <w:p w14:paraId="0D2637E7" w14:textId="77777777" w:rsidR="00FD2C59" w:rsidRPr="00245F34" w:rsidRDefault="00FD2C59" w:rsidP="00FD2C59">
            <w:pPr>
              <w:rPr>
                <w:sz w:val="19"/>
                <w:szCs w:val="19"/>
              </w:rPr>
            </w:pPr>
            <w:r w:rsidRPr="00245F34">
              <w:rPr>
                <w:sz w:val="19"/>
                <w:szCs w:val="19"/>
              </w:rPr>
              <w:t>Chronological 70/15/15 split; 750 test records; validation-tuned threshold.</w:t>
            </w:r>
          </w:p>
        </w:tc>
        <w:tc>
          <w:tcPr>
            <w:tcW w:w="0" w:type="auto"/>
            <w:tcBorders>
              <w:top w:val="nil"/>
              <w:left w:val="single" w:sz="6" w:space="0" w:color="E0E0E0"/>
              <w:bottom w:val="single" w:sz="6" w:space="0" w:color="E0E0E0"/>
              <w:right w:val="single" w:sz="6" w:space="0" w:color="E0E0E0"/>
            </w:tcBorders>
            <w:hideMark/>
          </w:tcPr>
          <w:p w14:paraId="0E3B4BDF" w14:textId="77777777" w:rsidR="00FD2C59" w:rsidRPr="00245F34" w:rsidRDefault="00FD2C59" w:rsidP="00FD2C59">
            <w:pPr>
              <w:rPr>
                <w:sz w:val="19"/>
                <w:szCs w:val="19"/>
              </w:rPr>
            </w:pPr>
            <w:r w:rsidRPr="00245F34">
              <w:rPr>
                <w:sz w:val="19"/>
                <w:szCs w:val="19"/>
              </w:rPr>
              <w:t>Precision 0.880952; Recall 0.925000; F1 0.902439; ROC-AUC 0.997430; PR-AUC 0.948532.</w:t>
            </w:r>
          </w:p>
        </w:tc>
        <w:tc>
          <w:tcPr>
            <w:tcW w:w="0" w:type="auto"/>
            <w:tcBorders>
              <w:top w:val="nil"/>
              <w:left w:val="single" w:sz="6" w:space="0" w:color="E0E0E0"/>
              <w:bottom w:val="single" w:sz="6" w:space="0" w:color="E0E0E0"/>
              <w:right w:val="single" w:sz="6" w:space="0" w:color="E0E0E0"/>
            </w:tcBorders>
            <w:hideMark/>
          </w:tcPr>
          <w:p w14:paraId="13DA7146" w14:textId="77777777" w:rsidR="00FD2C59" w:rsidRPr="00245F34" w:rsidRDefault="00FD2C59" w:rsidP="00FD2C59">
            <w:pPr>
              <w:rPr>
                <w:sz w:val="19"/>
                <w:szCs w:val="19"/>
              </w:rPr>
            </w:pPr>
            <w:r w:rsidRPr="00245F34">
              <w:rPr>
                <w:sz w:val="19"/>
                <w:szCs w:val="19"/>
              </w:rPr>
              <w:t>Historical CSV-specific evaluation, not REFIT or a new field result.</w:t>
            </w:r>
          </w:p>
        </w:tc>
      </w:tr>
      <w:tr w:rsidR="00FD2C59" w:rsidRPr="00FD2C59" w14:paraId="2372E23B" w14:textId="77777777">
        <w:trPr>
          <w:trHeight w:val="540"/>
        </w:trPr>
        <w:tc>
          <w:tcPr>
            <w:tcW w:w="0" w:type="auto"/>
            <w:tcBorders>
              <w:top w:val="nil"/>
              <w:left w:val="single" w:sz="6" w:space="0" w:color="E0E0E0"/>
              <w:bottom w:val="single" w:sz="6" w:space="0" w:color="E0E0E0"/>
              <w:right w:val="single" w:sz="6" w:space="0" w:color="E0E0E0"/>
            </w:tcBorders>
            <w:hideMark/>
          </w:tcPr>
          <w:p w14:paraId="0D2D7028" w14:textId="77777777" w:rsidR="00FD2C59" w:rsidRPr="00245F34" w:rsidRDefault="00FD2C59" w:rsidP="00FD2C59">
            <w:pPr>
              <w:rPr>
                <w:sz w:val="19"/>
                <w:szCs w:val="19"/>
              </w:rPr>
            </w:pPr>
            <w:r w:rsidRPr="00245F34">
              <w:rPr>
                <w:sz w:val="19"/>
                <w:szCs w:val="19"/>
              </w:rPr>
              <w:t>Historical logistic regression</w:t>
            </w:r>
          </w:p>
        </w:tc>
        <w:tc>
          <w:tcPr>
            <w:tcW w:w="0" w:type="auto"/>
            <w:tcBorders>
              <w:top w:val="nil"/>
              <w:left w:val="single" w:sz="6" w:space="0" w:color="E0E0E0"/>
              <w:bottom w:val="single" w:sz="6" w:space="0" w:color="E0E0E0"/>
              <w:right w:val="single" w:sz="6" w:space="0" w:color="E0E0E0"/>
            </w:tcBorders>
            <w:hideMark/>
          </w:tcPr>
          <w:p w14:paraId="23346C93" w14:textId="77777777" w:rsidR="00FD2C59" w:rsidRPr="00245F34" w:rsidRDefault="00FD2C59" w:rsidP="00FD2C59">
            <w:pPr>
              <w:rPr>
                <w:sz w:val="19"/>
                <w:szCs w:val="19"/>
              </w:rPr>
            </w:pPr>
            <w:r w:rsidRPr="00245F34">
              <w:rPr>
                <w:sz w:val="19"/>
                <w:szCs w:val="19"/>
              </w:rPr>
              <w:t>Same held-out split; threshold = 0.28.</w:t>
            </w:r>
          </w:p>
        </w:tc>
        <w:tc>
          <w:tcPr>
            <w:tcW w:w="0" w:type="auto"/>
            <w:tcBorders>
              <w:top w:val="nil"/>
              <w:left w:val="single" w:sz="6" w:space="0" w:color="E0E0E0"/>
              <w:bottom w:val="single" w:sz="6" w:space="0" w:color="E0E0E0"/>
              <w:right w:val="single" w:sz="6" w:space="0" w:color="E0E0E0"/>
            </w:tcBorders>
            <w:hideMark/>
          </w:tcPr>
          <w:p w14:paraId="2D36062A" w14:textId="77777777" w:rsidR="00FD2C59" w:rsidRPr="00245F34" w:rsidRDefault="00FD2C59" w:rsidP="00FD2C59">
            <w:pPr>
              <w:rPr>
                <w:sz w:val="19"/>
                <w:szCs w:val="19"/>
              </w:rPr>
            </w:pPr>
            <w:r w:rsidRPr="00245F34">
              <w:rPr>
                <w:sz w:val="19"/>
                <w:szCs w:val="19"/>
              </w:rPr>
              <w:t>Precision 0.053333; Recall 1.000000; F1 0.101266; ROC-AUC 0.422852; PR-AUC 0.059710.</w:t>
            </w:r>
          </w:p>
        </w:tc>
        <w:tc>
          <w:tcPr>
            <w:tcW w:w="0" w:type="auto"/>
            <w:tcBorders>
              <w:top w:val="nil"/>
              <w:left w:val="single" w:sz="6" w:space="0" w:color="E0E0E0"/>
              <w:bottom w:val="single" w:sz="6" w:space="0" w:color="E0E0E0"/>
              <w:right w:val="single" w:sz="6" w:space="0" w:color="E0E0E0"/>
            </w:tcBorders>
            <w:hideMark/>
          </w:tcPr>
          <w:p w14:paraId="0C974D08" w14:textId="77777777" w:rsidR="00FD2C59" w:rsidRPr="00245F34" w:rsidRDefault="00FD2C59" w:rsidP="00FD2C59">
            <w:pPr>
              <w:rPr>
                <w:sz w:val="19"/>
                <w:szCs w:val="19"/>
              </w:rPr>
            </w:pPr>
            <w:r w:rsidRPr="00245F34">
              <w:rPr>
                <w:sz w:val="19"/>
                <w:szCs w:val="19"/>
              </w:rPr>
              <w:t>Legacy comparator only.</w:t>
            </w:r>
          </w:p>
        </w:tc>
      </w:tr>
      <w:tr w:rsidR="00FD2C59" w:rsidRPr="00FD2C59" w14:paraId="009068FF" w14:textId="77777777">
        <w:trPr>
          <w:trHeight w:val="540"/>
        </w:trPr>
        <w:tc>
          <w:tcPr>
            <w:tcW w:w="0" w:type="auto"/>
            <w:tcBorders>
              <w:top w:val="nil"/>
              <w:left w:val="single" w:sz="6" w:space="0" w:color="E0E0E0"/>
              <w:bottom w:val="single" w:sz="6" w:space="0" w:color="E0E0E0"/>
              <w:right w:val="single" w:sz="6" w:space="0" w:color="E0E0E0"/>
            </w:tcBorders>
            <w:hideMark/>
          </w:tcPr>
          <w:p w14:paraId="095DBF5D" w14:textId="77777777" w:rsidR="00FD2C59" w:rsidRPr="00245F34" w:rsidRDefault="00FD2C59" w:rsidP="00FD2C59">
            <w:pPr>
              <w:rPr>
                <w:sz w:val="19"/>
                <w:szCs w:val="19"/>
              </w:rPr>
            </w:pPr>
            <w:r w:rsidRPr="00245F34">
              <w:rPr>
                <w:sz w:val="19"/>
                <w:szCs w:val="19"/>
              </w:rPr>
              <w:t>Offline reproduction</w:t>
            </w:r>
          </w:p>
        </w:tc>
        <w:tc>
          <w:tcPr>
            <w:tcW w:w="0" w:type="auto"/>
            <w:tcBorders>
              <w:top w:val="nil"/>
              <w:left w:val="single" w:sz="6" w:space="0" w:color="E0E0E0"/>
              <w:bottom w:val="single" w:sz="6" w:space="0" w:color="E0E0E0"/>
              <w:right w:val="single" w:sz="6" w:space="0" w:color="E0E0E0"/>
            </w:tcBorders>
            <w:hideMark/>
          </w:tcPr>
          <w:p w14:paraId="6C8302A9" w14:textId="77777777" w:rsidR="00FD2C59" w:rsidRPr="00245F34" w:rsidRDefault="00FD2C59" w:rsidP="00FD2C59">
            <w:pPr>
              <w:rPr>
                <w:sz w:val="19"/>
                <w:szCs w:val="19"/>
              </w:rPr>
            </w:pPr>
            <w:r w:rsidRPr="00245F34">
              <w:rPr>
                <w:sz w:val="19"/>
                <w:szCs w:val="19"/>
              </w:rPr>
              <w:t>Current deterministic trainer with 5,000 copied records.</w:t>
            </w:r>
          </w:p>
        </w:tc>
        <w:tc>
          <w:tcPr>
            <w:tcW w:w="0" w:type="auto"/>
            <w:tcBorders>
              <w:top w:val="nil"/>
              <w:left w:val="single" w:sz="6" w:space="0" w:color="E0E0E0"/>
              <w:bottom w:val="single" w:sz="6" w:space="0" w:color="E0E0E0"/>
              <w:right w:val="single" w:sz="6" w:space="0" w:color="E0E0E0"/>
            </w:tcBorders>
            <w:hideMark/>
          </w:tcPr>
          <w:p w14:paraId="790A1037" w14:textId="77777777" w:rsidR="00FD2C59" w:rsidRPr="00245F34" w:rsidRDefault="00FD2C59" w:rsidP="00FD2C59">
            <w:pPr>
              <w:rPr>
                <w:sz w:val="19"/>
                <w:szCs w:val="19"/>
              </w:rPr>
            </w:pPr>
            <w:r w:rsidRPr="00245F34">
              <w:rPr>
                <w:sz w:val="19"/>
                <w:szCs w:val="19"/>
              </w:rPr>
              <w:t>All reported metric differences = 0; reproduced Random Forest artefact SHA-256 matched the legacy artefact.</w:t>
            </w:r>
          </w:p>
        </w:tc>
        <w:tc>
          <w:tcPr>
            <w:tcW w:w="0" w:type="auto"/>
            <w:tcBorders>
              <w:top w:val="nil"/>
              <w:left w:val="single" w:sz="6" w:space="0" w:color="E0E0E0"/>
              <w:bottom w:val="single" w:sz="6" w:space="0" w:color="E0E0E0"/>
              <w:right w:val="single" w:sz="6" w:space="0" w:color="E0E0E0"/>
            </w:tcBorders>
            <w:hideMark/>
          </w:tcPr>
          <w:p w14:paraId="121D13E1" w14:textId="77777777" w:rsidR="00FD2C59" w:rsidRPr="00245F34" w:rsidRDefault="00FD2C59" w:rsidP="00FD2C59">
            <w:pPr>
              <w:rPr>
                <w:sz w:val="19"/>
                <w:szCs w:val="19"/>
              </w:rPr>
            </w:pPr>
            <w:r w:rsidRPr="00245F34">
              <w:rPr>
                <w:sz w:val="19"/>
                <w:szCs w:val="19"/>
              </w:rPr>
              <w:t>Reproduces the legacy experiment; does not prove external validity.</w:t>
            </w:r>
          </w:p>
        </w:tc>
      </w:tr>
      <w:tr w:rsidR="00FD2C59" w:rsidRPr="00FD2C59" w14:paraId="193F32C1" w14:textId="77777777">
        <w:trPr>
          <w:trHeight w:val="540"/>
        </w:trPr>
        <w:tc>
          <w:tcPr>
            <w:tcW w:w="0" w:type="auto"/>
            <w:tcBorders>
              <w:top w:val="nil"/>
              <w:left w:val="single" w:sz="6" w:space="0" w:color="E0E0E0"/>
              <w:bottom w:val="single" w:sz="6" w:space="0" w:color="E0E0E0"/>
              <w:right w:val="single" w:sz="6" w:space="0" w:color="E0E0E0"/>
            </w:tcBorders>
            <w:hideMark/>
          </w:tcPr>
          <w:p w14:paraId="3F18B256" w14:textId="77777777" w:rsidR="00FD2C59" w:rsidRPr="00245F34" w:rsidRDefault="00FD2C59" w:rsidP="00FD2C59">
            <w:pPr>
              <w:rPr>
                <w:sz w:val="19"/>
                <w:szCs w:val="19"/>
              </w:rPr>
            </w:pPr>
            <w:r w:rsidRPr="00245F34">
              <w:rPr>
                <w:sz w:val="19"/>
                <w:szCs w:val="19"/>
              </w:rPr>
              <w:t>Live inference smoke test</w:t>
            </w:r>
          </w:p>
        </w:tc>
        <w:tc>
          <w:tcPr>
            <w:tcW w:w="0" w:type="auto"/>
            <w:tcBorders>
              <w:top w:val="nil"/>
              <w:left w:val="single" w:sz="6" w:space="0" w:color="E0E0E0"/>
              <w:bottom w:val="single" w:sz="6" w:space="0" w:color="E0E0E0"/>
              <w:right w:val="single" w:sz="6" w:space="0" w:color="E0E0E0"/>
            </w:tcBorders>
            <w:hideMark/>
          </w:tcPr>
          <w:p w14:paraId="317E73D2" w14:textId="77777777" w:rsidR="00FD2C59" w:rsidRPr="00245F34" w:rsidRDefault="00FD2C59" w:rsidP="00FD2C59">
            <w:pPr>
              <w:rPr>
                <w:sz w:val="19"/>
                <w:szCs w:val="19"/>
              </w:rPr>
            </w:pPr>
            <w:proofErr w:type="spellStart"/>
            <w:r w:rsidRPr="00245F34">
              <w:rPr>
                <w:sz w:val="19"/>
                <w:szCs w:val="19"/>
              </w:rPr>
              <w:t>deviceId</w:t>
            </w:r>
            <w:proofErr w:type="spellEnd"/>
            <w:r w:rsidRPr="00245F34">
              <w:rPr>
                <w:sz w:val="19"/>
                <w:szCs w:val="19"/>
              </w:rPr>
              <w:t xml:space="preserve"> 1; </w:t>
            </w:r>
            <w:proofErr w:type="spellStart"/>
            <w:r w:rsidRPr="00245F34">
              <w:rPr>
                <w:sz w:val="19"/>
                <w:szCs w:val="19"/>
              </w:rPr>
              <w:t>energyConsumed</w:t>
            </w:r>
            <w:proofErr w:type="spellEnd"/>
            <w:r w:rsidRPr="00245F34">
              <w:rPr>
                <w:sz w:val="19"/>
                <w:szCs w:val="19"/>
              </w:rPr>
              <w:t xml:space="preserve"> 0.55; timestamp 2026-10-11T00:00:00Z.</w:t>
            </w:r>
          </w:p>
        </w:tc>
        <w:tc>
          <w:tcPr>
            <w:tcW w:w="0" w:type="auto"/>
            <w:tcBorders>
              <w:top w:val="nil"/>
              <w:left w:val="single" w:sz="6" w:space="0" w:color="E0E0E0"/>
              <w:bottom w:val="single" w:sz="6" w:space="0" w:color="E0E0E0"/>
              <w:right w:val="single" w:sz="6" w:space="0" w:color="E0E0E0"/>
            </w:tcBorders>
            <w:hideMark/>
          </w:tcPr>
          <w:p w14:paraId="5B2E17C7" w14:textId="77777777" w:rsidR="00FD2C59" w:rsidRPr="00245F34" w:rsidRDefault="00FD2C59" w:rsidP="00FD2C59">
            <w:pPr>
              <w:rPr>
                <w:sz w:val="19"/>
                <w:szCs w:val="19"/>
              </w:rPr>
            </w:pPr>
            <w:r w:rsidRPr="00245F34">
              <w:rPr>
                <w:sz w:val="19"/>
                <w:szCs w:val="19"/>
              </w:rPr>
              <w:t>anomaly = false; probability = 0.0; threshold = 0.31; four context features imputed.</w:t>
            </w:r>
          </w:p>
        </w:tc>
        <w:tc>
          <w:tcPr>
            <w:tcW w:w="0" w:type="auto"/>
            <w:tcBorders>
              <w:top w:val="nil"/>
              <w:left w:val="single" w:sz="6" w:space="0" w:color="E0E0E0"/>
              <w:bottom w:val="single" w:sz="6" w:space="0" w:color="E0E0E0"/>
              <w:right w:val="single" w:sz="6" w:space="0" w:color="E0E0E0"/>
            </w:tcBorders>
            <w:hideMark/>
          </w:tcPr>
          <w:p w14:paraId="12531AFE" w14:textId="77777777" w:rsidR="00FD2C59" w:rsidRPr="00245F34" w:rsidRDefault="00FD2C59" w:rsidP="00FD2C59">
            <w:pPr>
              <w:rPr>
                <w:sz w:val="19"/>
                <w:szCs w:val="19"/>
              </w:rPr>
            </w:pPr>
            <w:r w:rsidRPr="00245F34">
              <w:rPr>
                <w:sz w:val="19"/>
                <w:szCs w:val="19"/>
              </w:rPr>
              <w:t>Confirms endpoint execution and declared imputation only.</w:t>
            </w:r>
          </w:p>
        </w:tc>
      </w:tr>
    </w:tbl>
    <w:p w14:paraId="43F55703" w14:textId="77777777" w:rsidR="00245F34" w:rsidRDefault="00245F34" w:rsidP="00FD2C59">
      <w:pPr>
        <w:rPr>
          <w:b/>
          <w:bCs/>
        </w:rPr>
      </w:pPr>
    </w:p>
    <w:p w14:paraId="288ADD99" w14:textId="24C2103A" w:rsidR="00FD2C59" w:rsidRPr="00245F34" w:rsidRDefault="00FD2C59" w:rsidP="00245F34">
      <w:pPr>
        <w:jc w:val="center"/>
        <w:rPr>
          <w:sz w:val="21"/>
          <w:szCs w:val="21"/>
        </w:rPr>
      </w:pPr>
      <w:r>
        <w:rPr>
          <w:b/>
          <w:bCs/>
          <w:sz w:val="21"/>
          <w:szCs w:val="21"/>
        </w:rPr>
        <w:t>Table IV. REFIT primary-cohort normalisation results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9"/>
        <w:gridCol w:w="1273"/>
        <w:gridCol w:w="1152"/>
        <w:gridCol w:w="1250"/>
        <w:gridCol w:w="1269"/>
        <w:gridCol w:w="1501"/>
        <w:gridCol w:w="1506"/>
      </w:tblGrid>
      <w:tr w:rsidR="00FD2C59" w:rsidRPr="00FD2C59" w14:paraId="556E77C7"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7263F4FF" w14:textId="77777777" w:rsidR="00FD2C59" w:rsidRPr="00FD2C59" w:rsidRDefault="00FD2C59" w:rsidP="00FD2C59">
            <w:r w:rsidRPr="00FD2C59">
              <w:rPr>
                <w:b/>
                <w:bCs/>
              </w:rPr>
              <w:t>Home</w:t>
            </w:r>
          </w:p>
        </w:tc>
        <w:tc>
          <w:tcPr>
            <w:tcW w:w="2250" w:type="dxa"/>
            <w:tcBorders>
              <w:top w:val="single" w:sz="6" w:space="0" w:color="E0E0E0"/>
              <w:left w:val="single" w:sz="6" w:space="0" w:color="E0E0E0"/>
              <w:bottom w:val="single" w:sz="6" w:space="0" w:color="E0E0E0"/>
              <w:right w:val="single" w:sz="6" w:space="0" w:color="E0E0E0"/>
            </w:tcBorders>
            <w:hideMark/>
          </w:tcPr>
          <w:p w14:paraId="7FBAC03C" w14:textId="77777777" w:rsidR="00FD2C59" w:rsidRPr="00FD2C59" w:rsidRDefault="00FD2C59" w:rsidP="00FD2C59">
            <w:r w:rsidRPr="00FD2C59">
              <w:rPr>
                <w:b/>
                <w:bCs/>
              </w:rPr>
              <w:t>Time window (UTC)</w:t>
            </w:r>
          </w:p>
        </w:tc>
        <w:tc>
          <w:tcPr>
            <w:tcW w:w="2250" w:type="dxa"/>
            <w:tcBorders>
              <w:top w:val="single" w:sz="6" w:space="0" w:color="E0E0E0"/>
              <w:left w:val="single" w:sz="6" w:space="0" w:color="E0E0E0"/>
              <w:bottom w:val="single" w:sz="6" w:space="0" w:color="E0E0E0"/>
              <w:right w:val="single" w:sz="6" w:space="0" w:color="E0E0E0"/>
            </w:tcBorders>
            <w:hideMark/>
          </w:tcPr>
          <w:p w14:paraId="3A6DC9B0" w14:textId="77777777" w:rsidR="00FD2C59" w:rsidRPr="00FD2C59" w:rsidRDefault="00FD2C59" w:rsidP="00FD2C59">
            <w:r w:rsidRPr="00FD2C59">
              <w:rPr>
                <w:b/>
                <w:bCs/>
              </w:rPr>
              <w:t>Chosen rows</w:t>
            </w:r>
          </w:p>
        </w:tc>
        <w:tc>
          <w:tcPr>
            <w:tcW w:w="2250" w:type="dxa"/>
            <w:tcBorders>
              <w:top w:val="single" w:sz="6" w:space="0" w:color="E0E0E0"/>
              <w:left w:val="single" w:sz="6" w:space="0" w:color="E0E0E0"/>
              <w:bottom w:val="single" w:sz="6" w:space="0" w:color="E0E0E0"/>
              <w:right w:val="single" w:sz="6" w:space="0" w:color="E0E0E0"/>
            </w:tcBorders>
            <w:hideMark/>
          </w:tcPr>
          <w:p w14:paraId="20DF4393" w14:textId="77777777" w:rsidR="00FD2C59" w:rsidRPr="00FD2C59" w:rsidRDefault="00FD2C59" w:rsidP="00FD2C59">
            <w:r w:rsidRPr="00FD2C59">
              <w:rPr>
                <w:b/>
                <w:bCs/>
              </w:rPr>
              <w:t>Intervals retained</w:t>
            </w:r>
          </w:p>
        </w:tc>
        <w:tc>
          <w:tcPr>
            <w:tcW w:w="2250" w:type="dxa"/>
            <w:tcBorders>
              <w:top w:val="single" w:sz="6" w:space="0" w:color="E0E0E0"/>
              <w:left w:val="single" w:sz="6" w:space="0" w:color="E0E0E0"/>
              <w:bottom w:val="single" w:sz="6" w:space="0" w:color="E0E0E0"/>
              <w:right w:val="single" w:sz="6" w:space="0" w:color="E0E0E0"/>
            </w:tcBorders>
            <w:hideMark/>
          </w:tcPr>
          <w:p w14:paraId="303021B0" w14:textId="77777777" w:rsidR="00FD2C59" w:rsidRPr="00FD2C59" w:rsidRDefault="00FD2C59" w:rsidP="00FD2C59">
            <w:r w:rsidRPr="00FD2C59">
              <w:rPr>
                <w:b/>
                <w:bCs/>
              </w:rPr>
              <w:t>Rows excluded</w:t>
            </w:r>
          </w:p>
        </w:tc>
        <w:tc>
          <w:tcPr>
            <w:tcW w:w="2250" w:type="dxa"/>
            <w:tcBorders>
              <w:top w:val="single" w:sz="6" w:space="0" w:color="E0E0E0"/>
              <w:left w:val="single" w:sz="6" w:space="0" w:color="E0E0E0"/>
              <w:bottom w:val="single" w:sz="6" w:space="0" w:color="E0E0E0"/>
              <w:right w:val="single" w:sz="6" w:space="0" w:color="E0E0E0"/>
            </w:tcBorders>
            <w:hideMark/>
          </w:tcPr>
          <w:p w14:paraId="41893B1F" w14:textId="77777777" w:rsidR="00FD2C59" w:rsidRPr="00FD2C59" w:rsidRDefault="00FD2C59" w:rsidP="00FD2C59">
            <w:r w:rsidRPr="00FD2C59">
              <w:rPr>
                <w:b/>
                <w:bCs/>
              </w:rPr>
              <w:t>Energy estimated (kWh)</w:t>
            </w:r>
          </w:p>
        </w:tc>
        <w:tc>
          <w:tcPr>
            <w:tcW w:w="2250" w:type="dxa"/>
            <w:tcBorders>
              <w:top w:val="single" w:sz="6" w:space="0" w:color="E0E0E0"/>
              <w:left w:val="single" w:sz="6" w:space="0" w:color="E0E0E0"/>
              <w:bottom w:val="single" w:sz="6" w:space="0" w:color="E0E0E0"/>
              <w:right w:val="single" w:sz="6" w:space="0" w:color="E0E0E0"/>
            </w:tcBorders>
            <w:hideMark/>
          </w:tcPr>
          <w:p w14:paraId="48ADFA77" w14:textId="77777777" w:rsidR="00FD2C59" w:rsidRPr="00FD2C59" w:rsidRDefault="00FD2C59" w:rsidP="00FD2C59">
            <w:r w:rsidRPr="00FD2C59">
              <w:rPr>
                <w:b/>
                <w:bCs/>
              </w:rPr>
              <w:t>Quality output</w:t>
            </w:r>
          </w:p>
        </w:tc>
      </w:tr>
      <w:tr w:rsidR="00FD2C59" w:rsidRPr="00FD2C59" w14:paraId="17468BE9" w14:textId="77777777">
        <w:trPr>
          <w:trHeight w:val="540"/>
        </w:trPr>
        <w:tc>
          <w:tcPr>
            <w:tcW w:w="0" w:type="auto"/>
            <w:tcBorders>
              <w:top w:val="nil"/>
              <w:left w:val="single" w:sz="6" w:space="0" w:color="E0E0E0"/>
              <w:bottom w:val="single" w:sz="6" w:space="0" w:color="E0E0E0"/>
              <w:right w:val="single" w:sz="6" w:space="0" w:color="E0E0E0"/>
            </w:tcBorders>
            <w:hideMark/>
          </w:tcPr>
          <w:p w14:paraId="09F5F140" w14:textId="77777777" w:rsidR="00FD2C59" w:rsidRPr="00245F34" w:rsidRDefault="00FD2C59" w:rsidP="00FD2C59">
            <w:pPr>
              <w:rPr>
                <w:sz w:val="19"/>
                <w:szCs w:val="19"/>
              </w:rPr>
            </w:pPr>
            <w:r w:rsidRPr="00245F34">
              <w:rPr>
                <w:sz w:val="19"/>
                <w:szCs w:val="19"/>
              </w:rPr>
              <w:t>H1</w:t>
            </w:r>
          </w:p>
        </w:tc>
        <w:tc>
          <w:tcPr>
            <w:tcW w:w="0" w:type="auto"/>
            <w:tcBorders>
              <w:top w:val="nil"/>
              <w:left w:val="single" w:sz="6" w:space="0" w:color="E0E0E0"/>
              <w:bottom w:val="single" w:sz="6" w:space="0" w:color="E0E0E0"/>
              <w:right w:val="single" w:sz="6" w:space="0" w:color="E0E0E0"/>
            </w:tcBorders>
            <w:hideMark/>
          </w:tcPr>
          <w:p w14:paraId="3B34E391" w14:textId="77777777" w:rsidR="00FD2C59" w:rsidRPr="00245F34" w:rsidRDefault="00FD2C59" w:rsidP="00FD2C59">
            <w:pPr>
              <w:rPr>
                <w:sz w:val="19"/>
                <w:szCs w:val="19"/>
              </w:rPr>
            </w:pPr>
            <w:r w:rsidRPr="00245F34">
              <w:rPr>
                <w:sz w:val="19"/>
                <w:szCs w:val="19"/>
              </w:rPr>
              <w:t>2014-10-01 to 2014-10-15</w:t>
            </w:r>
          </w:p>
        </w:tc>
        <w:tc>
          <w:tcPr>
            <w:tcW w:w="0" w:type="auto"/>
            <w:tcBorders>
              <w:top w:val="nil"/>
              <w:left w:val="single" w:sz="6" w:space="0" w:color="E0E0E0"/>
              <w:bottom w:val="single" w:sz="6" w:space="0" w:color="E0E0E0"/>
              <w:right w:val="single" w:sz="6" w:space="0" w:color="E0E0E0"/>
            </w:tcBorders>
            <w:hideMark/>
          </w:tcPr>
          <w:p w14:paraId="770AF7CE" w14:textId="77777777" w:rsidR="00FD2C59" w:rsidRPr="00245F34" w:rsidRDefault="00FD2C59" w:rsidP="00FD2C59">
            <w:pPr>
              <w:rPr>
                <w:sz w:val="19"/>
                <w:szCs w:val="19"/>
              </w:rPr>
            </w:pPr>
            <w:r w:rsidRPr="00245F34">
              <w:rPr>
                <w:sz w:val="19"/>
                <w:szCs w:val="19"/>
              </w:rPr>
              <w:t>153,762</w:t>
            </w:r>
          </w:p>
        </w:tc>
        <w:tc>
          <w:tcPr>
            <w:tcW w:w="0" w:type="auto"/>
            <w:tcBorders>
              <w:top w:val="nil"/>
              <w:left w:val="single" w:sz="6" w:space="0" w:color="E0E0E0"/>
              <w:bottom w:val="single" w:sz="6" w:space="0" w:color="E0E0E0"/>
              <w:right w:val="single" w:sz="6" w:space="0" w:color="E0E0E0"/>
            </w:tcBorders>
            <w:hideMark/>
          </w:tcPr>
          <w:p w14:paraId="7AD19AA2" w14:textId="77777777" w:rsidR="00FD2C59" w:rsidRPr="00245F34" w:rsidRDefault="00FD2C59" w:rsidP="00FD2C59">
            <w:pPr>
              <w:rPr>
                <w:sz w:val="19"/>
                <w:szCs w:val="19"/>
              </w:rPr>
            </w:pPr>
            <w:r w:rsidRPr="00245F34">
              <w:rPr>
                <w:sz w:val="19"/>
                <w:szCs w:val="19"/>
              </w:rPr>
              <w:t>153,578</w:t>
            </w:r>
          </w:p>
        </w:tc>
        <w:tc>
          <w:tcPr>
            <w:tcW w:w="0" w:type="auto"/>
            <w:tcBorders>
              <w:top w:val="nil"/>
              <w:left w:val="single" w:sz="6" w:space="0" w:color="E0E0E0"/>
              <w:bottom w:val="single" w:sz="6" w:space="0" w:color="E0E0E0"/>
              <w:right w:val="single" w:sz="6" w:space="0" w:color="E0E0E0"/>
            </w:tcBorders>
            <w:hideMark/>
          </w:tcPr>
          <w:p w14:paraId="56264258" w14:textId="77777777" w:rsidR="00FD2C59" w:rsidRPr="00245F34" w:rsidRDefault="00FD2C59" w:rsidP="00FD2C59">
            <w:pPr>
              <w:rPr>
                <w:sz w:val="19"/>
                <w:szCs w:val="19"/>
              </w:rPr>
            </w:pPr>
            <w:r w:rsidRPr="00245F34">
              <w:rPr>
                <w:sz w:val="19"/>
                <w:szCs w:val="19"/>
              </w:rPr>
              <w:t>184</w:t>
            </w:r>
          </w:p>
        </w:tc>
        <w:tc>
          <w:tcPr>
            <w:tcW w:w="0" w:type="auto"/>
            <w:tcBorders>
              <w:top w:val="nil"/>
              <w:left w:val="single" w:sz="6" w:space="0" w:color="E0E0E0"/>
              <w:bottom w:val="single" w:sz="6" w:space="0" w:color="E0E0E0"/>
              <w:right w:val="single" w:sz="6" w:space="0" w:color="E0E0E0"/>
            </w:tcBorders>
            <w:hideMark/>
          </w:tcPr>
          <w:p w14:paraId="14CC0FCD" w14:textId="77777777" w:rsidR="00FD2C59" w:rsidRPr="00245F34" w:rsidRDefault="00FD2C59" w:rsidP="00FD2C59">
            <w:pPr>
              <w:rPr>
                <w:sz w:val="19"/>
                <w:szCs w:val="19"/>
              </w:rPr>
            </w:pPr>
            <w:r w:rsidRPr="00245F34">
              <w:rPr>
                <w:sz w:val="19"/>
                <w:szCs w:val="19"/>
              </w:rPr>
              <w:t>104.820956111</w:t>
            </w:r>
          </w:p>
        </w:tc>
        <w:tc>
          <w:tcPr>
            <w:tcW w:w="0" w:type="auto"/>
            <w:tcBorders>
              <w:top w:val="nil"/>
              <w:left w:val="single" w:sz="6" w:space="0" w:color="E0E0E0"/>
              <w:bottom w:val="single" w:sz="6" w:space="0" w:color="E0E0E0"/>
              <w:right w:val="single" w:sz="6" w:space="0" w:color="E0E0E0"/>
            </w:tcBorders>
            <w:hideMark/>
          </w:tcPr>
          <w:p w14:paraId="7386D92D" w14:textId="77777777" w:rsidR="00FD2C59" w:rsidRPr="00245F34" w:rsidRDefault="00FD2C59" w:rsidP="00FD2C59">
            <w:pPr>
              <w:rPr>
                <w:sz w:val="19"/>
                <w:szCs w:val="19"/>
              </w:rPr>
            </w:pPr>
            <w:r w:rsidRPr="00245F34">
              <w:rPr>
                <w:sz w:val="19"/>
                <w:szCs w:val="19"/>
              </w:rPr>
              <w:t>PASS; 95.97% native cadence</w:t>
            </w:r>
          </w:p>
        </w:tc>
      </w:tr>
      <w:tr w:rsidR="00FD2C59" w:rsidRPr="00FD2C59" w14:paraId="12FDBCA4" w14:textId="77777777">
        <w:trPr>
          <w:trHeight w:val="540"/>
        </w:trPr>
        <w:tc>
          <w:tcPr>
            <w:tcW w:w="0" w:type="auto"/>
            <w:tcBorders>
              <w:top w:val="nil"/>
              <w:left w:val="single" w:sz="6" w:space="0" w:color="E0E0E0"/>
              <w:bottom w:val="single" w:sz="6" w:space="0" w:color="E0E0E0"/>
              <w:right w:val="single" w:sz="6" w:space="0" w:color="E0E0E0"/>
            </w:tcBorders>
            <w:hideMark/>
          </w:tcPr>
          <w:p w14:paraId="0872272A" w14:textId="77777777" w:rsidR="00FD2C59" w:rsidRPr="00245F34" w:rsidRDefault="00FD2C59" w:rsidP="00FD2C59">
            <w:pPr>
              <w:rPr>
                <w:sz w:val="19"/>
                <w:szCs w:val="19"/>
              </w:rPr>
            </w:pPr>
            <w:r w:rsidRPr="00245F34">
              <w:rPr>
                <w:sz w:val="19"/>
                <w:szCs w:val="19"/>
              </w:rPr>
              <w:lastRenderedPageBreak/>
              <w:t>H2</w:t>
            </w:r>
          </w:p>
        </w:tc>
        <w:tc>
          <w:tcPr>
            <w:tcW w:w="0" w:type="auto"/>
            <w:tcBorders>
              <w:top w:val="nil"/>
              <w:left w:val="single" w:sz="6" w:space="0" w:color="E0E0E0"/>
              <w:bottom w:val="single" w:sz="6" w:space="0" w:color="E0E0E0"/>
              <w:right w:val="single" w:sz="6" w:space="0" w:color="E0E0E0"/>
            </w:tcBorders>
            <w:hideMark/>
          </w:tcPr>
          <w:p w14:paraId="1E552E9B" w14:textId="77777777" w:rsidR="00FD2C59" w:rsidRPr="00245F34" w:rsidRDefault="00FD2C59" w:rsidP="00FD2C59">
            <w:pPr>
              <w:rPr>
                <w:sz w:val="19"/>
                <w:szCs w:val="19"/>
              </w:rPr>
            </w:pPr>
            <w:r w:rsidRPr="00245F34">
              <w:rPr>
                <w:sz w:val="19"/>
                <w:szCs w:val="19"/>
              </w:rPr>
              <w:t>2014-10-01 through 2014-10-15</w:t>
            </w:r>
          </w:p>
        </w:tc>
        <w:tc>
          <w:tcPr>
            <w:tcW w:w="0" w:type="auto"/>
            <w:tcBorders>
              <w:top w:val="nil"/>
              <w:left w:val="single" w:sz="6" w:space="0" w:color="E0E0E0"/>
              <w:bottom w:val="single" w:sz="6" w:space="0" w:color="E0E0E0"/>
              <w:right w:val="single" w:sz="6" w:space="0" w:color="E0E0E0"/>
            </w:tcBorders>
            <w:hideMark/>
          </w:tcPr>
          <w:p w14:paraId="44E9BA90" w14:textId="77777777" w:rsidR="00FD2C59" w:rsidRPr="00245F34" w:rsidRDefault="00FD2C59" w:rsidP="00FD2C59">
            <w:pPr>
              <w:rPr>
                <w:sz w:val="19"/>
                <w:szCs w:val="19"/>
              </w:rPr>
            </w:pPr>
            <w:r w:rsidRPr="00245F34">
              <w:rPr>
                <w:sz w:val="19"/>
                <w:szCs w:val="19"/>
              </w:rPr>
              <w:t>155,097</w:t>
            </w:r>
          </w:p>
        </w:tc>
        <w:tc>
          <w:tcPr>
            <w:tcW w:w="0" w:type="auto"/>
            <w:tcBorders>
              <w:top w:val="nil"/>
              <w:left w:val="single" w:sz="6" w:space="0" w:color="E0E0E0"/>
              <w:bottom w:val="single" w:sz="6" w:space="0" w:color="E0E0E0"/>
              <w:right w:val="single" w:sz="6" w:space="0" w:color="E0E0E0"/>
            </w:tcBorders>
            <w:hideMark/>
          </w:tcPr>
          <w:p w14:paraId="55A70060" w14:textId="77777777" w:rsidR="00FD2C59" w:rsidRPr="00245F34" w:rsidRDefault="00FD2C59" w:rsidP="00FD2C59">
            <w:pPr>
              <w:rPr>
                <w:sz w:val="19"/>
                <w:szCs w:val="19"/>
              </w:rPr>
            </w:pPr>
            <w:r w:rsidRPr="00245F34">
              <w:rPr>
                <w:sz w:val="19"/>
                <w:szCs w:val="19"/>
              </w:rPr>
              <w:t>154,985</w:t>
            </w:r>
          </w:p>
        </w:tc>
        <w:tc>
          <w:tcPr>
            <w:tcW w:w="0" w:type="auto"/>
            <w:tcBorders>
              <w:top w:val="nil"/>
              <w:left w:val="single" w:sz="6" w:space="0" w:color="E0E0E0"/>
              <w:bottom w:val="single" w:sz="6" w:space="0" w:color="E0E0E0"/>
              <w:right w:val="single" w:sz="6" w:space="0" w:color="E0E0E0"/>
            </w:tcBorders>
            <w:hideMark/>
          </w:tcPr>
          <w:p w14:paraId="02C64975" w14:textId="77777777" w:rsidR="00FD2C59" w:rsidRPr="00245F34" w:rsidRDefault="00FD2C59" w:rsidP="00FD2C59">
            <w:pPr>
              <w:rPr>
                <w:sz w:val="19"/>
                <w:szCs w:val="19"/>
              </w:rPr>
            </w:pPr>
            <w:r w:rsidRPr="00245F34">
              <w:rPr>
                <w:sz w:val="19"/>
                <w:szCs w:val="19"/>
              </w:rPr>
              <w:t>112</w:t>
            </w:r>
          </w:p>
        </w:tc>
        <w:tc>
          <w:tcPr>
            <w:tcW w:w="0" w:type="auto"/>
            <w:tcBorders>
              <w:top w:val="nil"/>
              <w:left w:val="single" w:sz="6" w:space="0" w:color="E0E0E0"/>
              <w:bottom w:val="single" w:sz="6" w:space="0" w:color="E0E0E0"/>
              <w:right w:val="single" w:sz="6" w:space="0" w:color="E0E0E0"/>
            </w:tcBorders>
            <w:hideMark/>
          </w:tcPr>
          <w:p w14:paraId="0BFCB42C" w14:textId="77777777" w:rsidR="00FD2C59" w:rsidRPr="00245F34" w:rsidRDefault="00FD2C59" w:rsidP="00FD2C59">
            <w:pPr>
              <w:rPr>
                <w:sz w:val="19"/>
                <w:szCs w:val="19"/>
              </w:rPr>
            </w:pPr>
            <w:r w:rsidRPr="00245F34">
              <w:rPr>
                <w:sz w:val="19"/>
                <w:szCs w:val="19"/>
              </w:rPr>
              <w:t>170.354373889</w:t>
            </w:r>
          </w:p>
        </w:tc>
        <w:tc>
          <w:tcPr>
            <w:tcW w:w="0" w:type="auto"/>
            <w:tcBorders>
              <w:top w:val="nil"/>
              <w:left w:val="single" w:sz="6" w:space="0" w:color="E0E0E0"/>
              <w:bottom w:val="single" w:sz="6" w:space="0" w:color="E0E0E0"/>
              <w:right w:val="single" w:sz="6" w:space="0" w:color="E0E0E0"/>
            </w:tcBorders>
            <w:hideMark/>
          </w:tcPr>
          <w:p w14:paraId="7898A4F8" w14:textId="77777777" w:rsidR="00FD2C59" w:rsidRPr="00245F34" w:rsidRDefault="00FD2C59" w:rsidP="00FD2C59">
            <w:pPr>
              <w:rPr>
                <w:sz w:val="19"/>
                <w:szCs w:val="19"/>
              </w:rPr>
            </w:pPr>
            <w:r w:rsidRPr="00245F34">
              <w:rPr>
                <w:sz w:val="19"/>
                <w:szCs w:val="19"/>
              </w:rPr>
              <w:t>PASS; 95.64% native cadence</w:t>
            </w:r>
          </w:p>
        </w:tc>
      </w:tr>
      <w:tr w:rsidR="00FD2C59" w:rsidRPr="00FD2C59" w14:paraId="787E0205" w14:textId="77777777">
        <w:trPr>
          <w:trHeight w:val="540"/>
        </w:trPr>
        <w:tc>
          <w:tcPr>
            <w:tcW w:w="0" w:type="auto"/>
            <w:tcBorders>
              <w:top w:val="nil"/>
              <w:left w:val="single" w:sz="6" w:space="0" w:color="E0E0E0"/>
              <w:bottom w:val="single" w:sz="6" w:space="0" w:color="E0E0E0"/>
              <w:right w:val="single" w:sz="6" w:space="0" w:color="E0E0E0"/>
            </w:tcBorders>
            <w:hideMark/>
          </w:tcPr>
          <w:p w14:paraId="2B3AA231" w14:textId="77777777" w:rsidR="00FD2C59" w:rsidRPr="00245F34" w:rsidRDefault="00FD2C59" w:rsidP="00FD2C59">
            <w:pPr>
              <w:rPr>
                <w:sz w:val="19"/>
                <w:szCs w:val="19"/>
              </w:rPr>
            </w:pPr>
            <w:r w:rsidRPr="00245F34">
              <w:rPr>
                <w:sz w:val="19"/>
                <w:szCs w:val="19"/>
              </w:rPr>
              <w:t>H4</w:t>
            </w:r>
          </w:p>
        </w:tc>
        <w:tc>
          <w:tcPr>
            <w:tcW w:w="0" w:type="auto"/>
            <w:tcBorders>
              <w:top w:val="nil"/>
              <w:left w:val="single" w:sz="6" w:space="0" w:color="E0E0E0"/>
              <w:bottom w:val="single" w:sz="6" w:space="0" w:color="E0E0E0"/>
              <w:right w:val="single" w:sz="6" w:space="0" w:color="E0E0E0"/>
            </w:tcBorders>
            <w:hideMark/>
          </w:tcPr>
          <w:p w14:paraId="036CF7A3" w14:textId="77777777" w:rsidR="00FD2C59" w:rsidRPr="00245F34" w:rsidRDefault="00FD2C59" w:rsidP="00FD2C59">
            <w:pPr>
              <w:rPr>
                <w:sz w:val="19"/>
                <w:szCs w:val="19"/>
              </w:rPr>
            </w:pPr>
            <w:r w:rsidRPr="00245F34">
              <w:rPr>
                <w:sz w:val="19"/>
                <w:szCs w:val="19"/>
              </w:rPr>
              <w:t>22 Apr 2015 to 6 May 2015</w:t>
            </w:r>
          </w:p>
        </w:tc>
        <w:tc>
          <w:tcPr>
            <w:tcW w:w="0" w:type="auto"/>
            <w:tcBorders>
              <w:top w:val="nil"/>
              <w:left w:val="single" w:sz="6" w:space="0" w:color="E0E0E0"/>
              <w:bottom w:val="single" w:sz="6" w:space="0" w:color="E0E0E0"/>
              <w:right w:val="single" w:sz="6" w:space="0" w:color="E0E0E0"/>
            </w:tcBorders>
            <w:hideMark/>
          </w:tcPr>
          <w:p w14:paraId="0664E6C9" w14:textId="77777777" w:rsidR="00FD2C59" w:rsidRPr="00245F34" w:rsidRDefault="00FD2C59" w:rsidP="00FD2C59">
            <w:pPr>
              <w:rPr>
                <w:sz w:val="19"/>
                <w:szCs w:val="19"/>
              </w:rPr>
            </w:pPr>
            <w:r w:rsidRPr="00245F34">
              <w:rPr>
                <w:sz w:val="19"/>
                <w:szCs w:val="19"/>
              </w:rPr>
              <w:t>160,324</w:t>
            </w:r>
          </w:p>
        </w:tc>
        <w:tc>
          <w:tcPr>
            <w:tcW w:w="0" w:type="auto"/>
            <w:tcBorders>
              <w:top w:val="nil"/>
              <w:left w:val="single" w:sz="6" w:space="0" w:color="E0E0E0"/>
              <w:bottom w:val="single" w:sz="6" w:space="0" w:color="E0E0E0"/>
              <w:right w:val="single" w:sz="6" w:space="0" w:color="E0E0E0"/>
            </w:tcBorders>
            <w:hideMark/>
          </w:tcPr>
          <w:p w14:paraId="67F653D5" w14:textId="77777777" w:rsidR="00FD2C59" w:rsidRPr="00245F34" w:rsidRDefault="00FD2C59" w:rsidP="00FD2C59">
            <w:pPr>
              <w:rPr>
                <w:sz w:val="19"/>
                <w:szCs w:val="19"/>
              </w:rPr>
            </w:pPr>
            <w:r w:rsidRPr="00245F34">
              <w:rPr>
                <w:sz w:val="19"/>
                <w:szCs w:val="19"/>
              </w:rPr>
              <w:t>160,284</w:t>
            </w:r>
          </w:p>
        </w:tc>
        <w:tc>
          <w:tcPr>
            <w:tcW w:w="0" w:type="auto"/>
            <w:tcBorders>
              <w:top w:val="nil"/>
              <w:left w:val="single" w:sz="6" w:space="0" w:color="E0E0E0"/>
              <w:bottom w:val="single" w:sz="6" w:space="0" w:color="E0E0E0"/>
              <w:right w:val="single" w:sz="6" w:space="0" w:color="E0E0E0"/>
            </w:tcBorders>
            <w:hideMark/>
          </w:tcPr>
          <w:p w14:paraId="6FFAEFA9" w14:textId="77777777" w:rsidR="00FD2C59" w:rsidRPr="00245F34" w:rsidRDefault="00FD2C59" w:rsidP="00FD2C59">
            <w:pPr>
              <w:rPr>
                <w:sz w:val="19"/>
                <w:szCs w:val="19"/>
              </w:rPr>
            </w:pPr>
            <w:r w:rsidRPr="00245F34">
              <w:rPr>
                <w:sz w:val="19"/>
                <w:szCs w:val="19"/>
              </w:rPr>
              <w:t>40</w:t>
            </w:r>
          </w:p>
        </w:tc>
        <w:tc>
          <w:tcPr>
            <w:tcW w:w="0" w:type="auto"/>
            <w:tcBorders>
              <w:top w:val="nil"/>
              <w:left w:val="single" w:sz="6" w:space="0" w:color="E0E0E0"/>
              <w:bottom w:val="single" w:sz="6" w:space="0" w:color="E0E0E0"/>
              <w:right w:val="single" w:sz="6" w:space="0" w:color="E0E0E0"/>
            </w:tcBorders>
            <w:hideMark/>
          </w:tcPr>
          <w:p w14:paraId="08C92C12" w14:textId="77777777" w:rsidR="00FD2C59" w:rsidRPr="00245F34" w:rsidRDefault="00FD2C59" w:rsidP="00FD2C59">
            <w:pPr>
              <w:rPr>
                <w:sz w:val="19"/>
                <w:szCs w:val="19"/>
              </w:rPr>
            </w:pPr>
            <w:r w:rsidRPr="00245F34">
              <w:rPr>
                <w:sz w:val="19"/>
                <w:szCs w:val="19"/>
              </w:rPr>
              <w:t>111.223081389</w:t>
            </w:r>
          </w:p>
        </w:tc>
        <w:tc>
          <w:tcPr>
            <w:tcW w:w="0" w:type="auto"/>
            <w:tcBorders>
              <w:top w:val="nil"/>
              <w:left w:val="single" w:sz="6" w:space="0" w:color="E0E0E0"/>
              <w:bottom w:val="single" w:sz="6" w:space="0" w:color="E0E0E0"/>
              <w:right w:val="single" w:sz="6" w:space="0" w:color="E0E0E0"/>
            </w:tcBorders>
            <w:hideMark/>
          </w:tcPr>
          <w:p w14:paraId="28AC63D1" w14:textId="77777777" w:rsidR="00FD2C59" w:rsidRPr="00245F34" w:rsidRDefault="00FD2C59" w:rsidP="00FD2C59">
            <w:pPr>
              <w:rPr>
                <w:sz w:val="19"/>
                <w:szCs w:val="19"/>
              </w:rPr>
            </w:pPr>
            <w:r w:rsidRPr="00245F34">
              <w:rPr>
                <w:sz w:val="19"/>
                <w:szCs w:val="19"/>
              </w:rPr>
              <w:t>PASS; 99.30% native cadence</w:t>
            </w:r>
          </w:p>
        </w:tc>
      </w:tr>
      <w:tr w:rsidR="00FD2C59" w:rsidRPr="00FD2C59" w14:paraId="4AEB3649" w14:textId="77777777">
        <w:trPr>
          <w:trHeight w:val="540"/>
        </w:trPr>
        <w:tc>
          <w:tcPr>
            <w:tcW w:w="0" w:type="auto"/>
            <w:tcBorders>
              <w:top w:val="nil"/>
              <w:left w:val="single" w:sz="6" w:space="0" w:color="E0E0E0"/>
              <w:bottom w:val="single" w:sz="6" w:space="0" w:color="E0E0E0"/>
              <w:right w:val="single" w:sz="6" w:space="0" w:color="E0E0E0"/>
            </w:tcBorders>
            <w:hideMark/>
          </w:tcPr>
          <w:p w14:paraId="15206365" w14:textId="77777777" w:rsidR="00FD2C59" w:rsidRPr="00245F34" w:rsidRDefault="00FD2C59" w:rsidP="00FD2C59">
            <w:pPr>
              <w:rPr>
                <w:sz w:val="19"/>
                <w:szCs w:val="19"/>
              </w:rPr>
            </w:pPr>
            <w:r w:rsidRPr="00245F34">
              <w:rPr>
                <w:sz w:val="19"/>
                <w:szCs w:val="19"/>
              </w:rPr>
              <w:t>Total primary</w:t>
            </w:r>
          </w:p>
        </w:tc>
        <w:tc>
          <w:tcPr>
            <w:tcW w:w="0" w:type="auto"/>
            <w:tcBorders>
              <w:top w:val="nil"/>
              <w:left w:val="single" w:sz="6" w:space="0" w:color="E0E0E0"/>
              <w:bottom w:val="single" w:sz="6" w:space="0" w:color="E0E0E0"/>
              <w:right w:val="single" w:sz="6" w:space="0" w:color="E0E0E0"/>
            </w:tcBorders>
            <w:hideMark/>
          </w:tcPr>
          <w:p w14:paraId="1691CA9F" w14:textId="77777777" w:rsidR="00FD2C59" w:rsidRPr="00245F34" w:rsidRDefault="00FD2C59" w:rsidP="00FD2C59">
            <w:pPr>
              <w:rPr>
                <w:sz w:val="19"/>
                <w:szCs w:val="19"/>
              </w:rPr>
            </w:pPr>
            <w:r w:rsidRPr="00245F34">
              <w:rPr>
                <w:sz w:val="19"/>
                <w:szCs w:val="19"/>
              </w:rPr>
              <w:t>Three 14-day periods</w:t>
            </w:r>
          </w:p>
        </w:tc>
        <w:tc>
          <w:tcPr>
            <w:tcW w:w="0" w:type="auto"/>
            <w:tcBorders>
              <w:top w:val="nil"/>
              <w:left w:val="single" w:sz="6" w:space="0" w:color="E0E0E0"/>
              <w:bottom w:val="single" w:sz="6" w:space="0" w:color="E0E0E0"/>
              <w:right w:val="single" w:sz="6" w:space="0" w:color="E0E0E0"/>
            </w:tcBorders>
            <w:hideMark/>
          </w:tcPr>
          <w:p w14:paraId="721700B0" w14:textId="77777777" w:rsidR="00FD2C59" w:rsidRPr="00245F34" w:rsidRDefault="00FD2C59" w:rsidP="00FD2C59">
            <w:pPr>
              <w:rPr>
                <w:sz w:val="19"/>
                <w:szCs w:val="19"/>
              </w:rPr>
            </w:pPr>
            <w:r w:rsidRPr="00245F34">
              <w:rPr>
                <w:sz w:val="19"/>
                <w:szCs w:val="19"/>
              </w:rPr>
              <w:t>469,183</w:t>
            </w:r>
          </w:p>
        </w:tc>
        <w:tc>
          <w:tcPr>
            <w:tcW w:w="0" w:type="auto"/>
            <w:tcBorders>
              <w:top w:val="nil"/>
              <w:left w:val="single" w:sz="6" w:space="0" w:color="E0E0E0"/>
              <w:bottom w:val="single" w:sz="6" w:space="0" w:color="E0E0E0"/>
              <w:right w:val="single" w:sz="6" w:space="0" w:color="E0E0E0"/>
            </w:tcBorders>
            <w:hideMark/>
          </w:tcPr>
          <w:p w14:paraId="7782525A" w14:textId="77777777" w:rsidR="00FD2C59" w:rsidRPr="00245F34" w:rsidRDefault="00FD2C59" w:rsidP="00FD2C59">
            <w:pPr>
              <w:rPr>
                <w:sz w:val="19"/>
                <w:szCs w:val="19"/>
              </w:rPr>
            </w:pPr>
            <w:r w:rsidRPr="00245F34">
              <w:rPr>
                <w:sz w:val="19"/>
                <w:szCs w:val="19"/>
              </w:rPr>
              <w:t>468,847</w:t>
            </w:r>
          </w:p>
        </w:tc>
        <w:tc>
          <w:tcPr>
            <w:tcW w:w="0" w:type="auto"/>
            <w:tcBorders>
              <w:top w:val="nil"/>
              <w:left w:val="single" w:sz="6" w:space="0" w:color="E0E0E0"/>
              <w:bottom w:val="single" w:sz="6" w:space="0" w:color="E0E0E0"/>
              <w:right w:val="single" w:sz="6" w:space="0" w:color="E0E0E0"/>
            </w:tcBorders>
            <w:hideMark/>
          </w:tcPr>
          <w:p w14:paraId="5D9E2E9F" w14:textId="77777777" w:rsidR="00FD2C59" w:rsidRPr="00245F34" w:rsidRDefault="00FD2C59" w:rsidP="00FD2C59">
            <w:pPr>
              <w:rPr>
                <w:sz w:val="19"/>
                <w:szCs w:val="19"/>
              </w:rPr>
            </w:pPr>
            <w:r w:rsidRPr="00245F34">
              <w:rPr>
                <w:sz w:val="19"/>
                <w:szCs w:val="19"/>
              </w:rPr>
              <w:t>336</w:t>
            </w:r>
          </w:p>
        </w:tc>
        <w:tc>
          <w:tcPr>
            <w:tcW w:w="0" w:type="auto"/>
            <w:tcBorders>
              <w:top w:val="nil"/>
              <w:left w:val="single" w:sz="6" w:space="0" w:color="E0E0E0"/>
              <w:bottom w:val="single" w:sz="6" w:space="0" w:color="E0E0E0"/>
              <w:right w:val="single" w:sz="6" w:space="0" w:color="E0E0E0"/>
            </w:tcBorders>
            <w:hideMark/>
          </w:tcPr>
          <w:p w14:paraId="186F6135" w14:textId="77777777" w:rsidR="00FD2C59" w:rsidRPr="00245F34" w:rsidRDefault="00FD2C59" w:rsidP="00FD2C59">
            <w:pPr>
              <w:rPr>
                <w:sz w:val="19"/>
                <w:szCs w:val="19"/>
              </w:rPr>
            </w:pPr>
            <w:r w:rsidRPr="00245F34">
              <w:rPr>
                <w:sz w:val="19"/>
                <w:szCs w:val="19"/>
              </w:rPr>
              <w:t>386.398411389</w:t>
            </w:r>
          </w:p>
        </w:tc>
        <w:tc>
          <w:tcPr>
            <w:tcW w:w="0" w:type="auto"/>
            <w:tcBorders>
              <w:top w:val="nil"/>
              <w:left w:val="single" w:sz="6" w:space="0" w:color="E0E0E0"/>
              <w:bottom w:val="single" w:sz="6" w:space="0" w:color="E0E0E0"/>
              <w:right w:val="single" w:sz="6" w:space="0" w:color="E0E0E0"/>
            </w:tcBorders>
            <w:hideMark/>
          </w:tcPr>
          <w:p w14:paraId="03F0E0C2" w14:textId="77777777" w:rsidR="00FD2C59" w:rsidRPr="00245F34" w:rsidRDefault="00FD2C59" w:rsidP="00FD2C59">
            <w:pPr>
              <w:rPr>
                <w:sz w:val="19"/>
                <w:szCs w:val="19"/>
              </w:rPr>
            </w:pPr>
            <w:r w:rsidRPr="00245F34">
              <w:rPr>
                <w:sz w:val="19"/>
                <w:szCs w:val="19"/>
              </w:rPr>
              <w:t>All record reconciliations passed</w:t>
            </w:r>
          </w:p>
        </w:tc>
      </w:tr>
    </w:tbl>
    <w:p w14:paraId="50207080" w14:textId="77777777" w:rsidR="00245F34" w:rsidRDefault="00245F34" w:rsidP="00FD2C59">
      <w:pPr>
        <w:rPr>
          <w:b/>
          <w:bCs/>
          <w:i/>
          <w:iCs/>
        </w:rPr>
      </w:pPr>
    </w:p>
    <w:p w14:paraId="3C8E771F" w14:textId="3617F50B" w:rsidR="00FD2C59" w:rsidRPr="00245F34" w:rsidRDefault="00FD2C59" w:rsidP="00FD2C59">
      <w:r>
        <w:t>Here, aggregate denotes total household active power in watts. Interval energy is estimated by the actual-delta, left-rectangle, sample-hold method. H3 and H11 are excluded from the primary summary because of the documented solar-interference sensitivity.</w:t>
      </w:r>
    </w:p>
    <w:p w14:paraId="0C9FFDCB" w14:textId="77777777" w:rsidR="00DF6614" w:rsidRDefault="00DF6614" w:rsidP="00FD2C59">
      <w:pPr>
        <w:rPr>
          <w:b/>
          <w:bCs/>
        </w:rPr>
      </w:pPr>
    </w:p>
    <w:p w14:paraId="407CA99E" w14:textId="083FA4C0" w:rsidR="00FD2C59" w:rsidRPr="00FD2C59" w:rsidRDefault="00FD2C59" w:rsidP="00FD2C59">
      <w:pPr>
        <w:rPr>
          <w:b/>
          <w:bCs/>
        </w:rPr>
      </w:pPr>
      <w:r w:rsidRPr="00FD2C59">
        <w:rPr>
          <w:b/>
          <w:bCs/>
        </w:rPr>
        <w:t>4.6 Results and Discussion</w:t>
      </w:r>
    </w:p>
    <w:p w14:paraId="0983E593" w14:textId="77777777" w:rsidR="00FD2C59" w:rsidRPr="00FD2C59" w:rsidRDefault="00FD2C59" w:rsidP="00FD2C59">
      <w:r>
        <w:t>Table III shows that the Random Forest exceeds the logistic-regression comparator on historical held-out F1, ROC-AUC, and PR-AUC. Exact offline reproduction and a matching artefact hash establish that the legacy experiment can be regenerated from the locally available copied input and configuration. They do not resolve the historical CSV's missing provenance, licence, label-generation procedure, household identity, or the causal construction of Avg_Past_Consumption.</w:t>
      </w:r>
    </w:p>
    <w:p w14:paraId="240ADD58" w14:textId="77777777" w:rsidR="00FD2C59" w:rsidRPr="00FD2C59" w:rsidRDefault="00FD2C59" w:rsidP="00FD2C59">
      <w:r>
        <w:t>The smoke test shows that the deployed interface can load the fixed model and handle a Wokwi-compatible payload with declared imputation. It provides no response-time distribution, throughput, alert-delivery, deduplication, recovery, or statistical-accuracy evidence. Five of six examined simulator boundaries also fall outside the historical 0–1 Electricity_Consumed range, motivating future input-range and out-of-distribution controls.</w:t>
      </w:r>
    </w:p>
    <w:p w14:paraId="4FDA4180" w14:textId="77777777" w:rsidR="00FD2C59" w:rsidRPr="00FD2C59" w:rsidRDefault="00FD2C59" w:rsidP="00FD2C59">
      <w:r>
        <w:t>REFIT preprocessing produced a traceable primary cohort of 468,847 retained intervals and an estimated 386.398411389 kWh across three selected 14-day periods. The selected intervals contained no duplicate or out-of-order Unix timestamps, and each household satisfied the reported cadence, coverage, missing-slot, and maximum-gap checks. The two preprocessing outputs were byte-identical; the primary-output SHA-256 is dfdba435f35a1548661309fd67b267548f419edd489cacf25c7566098f189163.</w:t>
      </w:r>
    </w:p>
    <w:p w14:paraId="030F9EC0" w14:textId="77777777" w:rsidR="00FD2C59" w:rsidRPr="00FD2C59" w:rsidRDefault="00FD2C59" w:rsidP="00FD2C59">
      <w:r>
        <w:t>This result is a preparation and reproducibility result, not a model-effectiveness claim. REFIT appliance-level annotations are not treated as aggregate anomaly ground truth: only H1 overlaps the selected primary cohort, and annotation semantics, counts, timestamps, and alignment with aggregate readings remain unverified. The derived interval-energy mapping has also not been accepted by the live ingestion API.</w:t>
      </w:r>
    </w:p>
    <w:p w14:paraId="0949D7A9" w14:textId="77777777" w:rsidR="00FD2C59" w:rsidRPr="00DF6614" w:rsidRDefault="00FD2C59" w:rsidP="00DF6614">
      <w:pPr>
        <w:jc w:val="center"/>
        <w:rPr>
          <w:sz w:val="21"/>
          <w:szCs w:val="21"/>
        </w:rPr>
      </w:pPr>
      <w:r>
        <w:rPr>
          <w:b/>
          <w:bCs/>
          <w:sz w:val="21"/>
          <w:szCs w:val="21"/>
        </w:rPr>
        <w:t>Table V. Evidence boundaries and current validation status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9"/>
        <w:gridCol w:w="3562"/>
        <w:gridCol w:w="3909"/>
      </w:tblGrid>
      <w:tr w:rsidR="00FD2C59" w:rsidRPr="00FD2C59" w14:paraId="75E8E5E5"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70E332CE" w14:textId="77777777" w:rsidR="00FD2C59" w:rsidRPr="00FD2C59" w:rsidRDefault="00FD2C59" w:rsidP="00FD2C59">
            <w:r w:rsidRPr="00FD2C59">
              <w:rPr>
                <w:b/>
                <w:bCs/>
              </w:rPr>
              <w:t>Region</w:t>
            </w:r>
          </w:p>
        </w:tc>
        <w:tc>
          <w:tcPr>
            <w:tcW w:w="2250" w:type="dxa"/>
            <w:tcBorders>
              <w:top w:val="single" w:sz="6" w:space="0" w:color="E0E0E0"/>
              <w:left w:val="single" w:sz="6" w:space="0" w:color="E0E0E0"/>
              <w:bottom w:val="single" w:sz="6" w:space="0" w:color="E0E0E0"/>
              <w:right w:val="single" w:sz="6" w:space="0" w:color="E0E0E0"/>
            </w:tcBorders>
            <w:hideMark/>
          </w:tcPr>
          <w:p w14:paraId="5720F373" w14:textId="77777777" w:rsidR="00FD2C59" w:rsidRPr="00FD2C59" w:rsidRDefault="00FD2C59" w:rsidP="00FD2C59">
            <w:r w:rsidRPr="00FD2C59">
              <w:rPr>
                <w:b/>
                <w:bCs/>
              </w:rPr>
              <w:t>Proven outcome</w:t>
            </w:r>
          </w:p>
        </w:tc>
        <w:tc>
          <w:tcPr>
            <w:tcW w:w="2250" w:type="dxa"/>
            <w:tcBorders>
              <w:top w:val="single" w:sz="6" w:space="0" w:color="E0E0E0"/>
              <w:left w:val="single" w:sz="6" w:space="0" w:color="E0E0E0"/>
              <w:bottom w:val="single" w:sz="6" w:space="0" w:color="E0E0E0"/>
              <w:right w:val="single" w:sz="6" w:space="0" w:color="E0E0E0"/>
            </w:tcBorders>
            <w:hideMark/>
          </w:tcPr>
          <w:p w14:paraId="26285F9E" w14:textId="77777777" w:rsidR="00FD2C59" w:rsidRPr="00FD2C59" w:rsidRDefault="00FD2C59" w:rsidP="00FD2C59">
            <w:r w:rsidRPr="00FD2C59">
              <w:rPr>
                <w:b/>
                <w:bCs/>
              </w:rPr>
              <w:t>Not configured or not validated</w:t>
            </w:r>
          </w:p>
        </w:tc>
      </w:tr>
      <w:tr w:rsidR="00FD2C59" w:rsidRPr="00FD2C59" w14:paraId="2462B06E" w14:textId="77777777">
        <w:trPr>
          <w:trHeight w:val="540"/>
        </w:trPr>
        <w:tc>
          <w:tcPr>
            <w:tcW w:w="0" w:type="auto"/>
            <w:tcBorders>
              <w:top w:val="nil"/>
              <w:left w:val="single" w:sz="6" w:space="0" w:color="E0E0E0"/>
              <w:bottom w:val="single" w:sz="6" w:space="0" w:color="E0E0E0"/>
              <w:right w:val="single" w:sz="6" w:space="0" w:color="E0E0E0"/>
            </w:tcBorders>
            <w:hideMark/>
          </w:tcPr>
          <w:p w14:paraId="02C8768F" w14:textId="77777777" w:rsidR="00FD2C59" w:rsidRPr="00DF6614" w:rsidRDefault="00FD2C59" w:rsidP="00FD2C59">
            <w:pPr>
              <w:rPr>
                <w:sz w:val="19"/>
                <w:szCs w:val="19"/>
              </w:rPr>
            </w:pPr>
            <w:r w:rsidRPr="00DF6614">
              <w:rPr>
                <w:sz w:val="19"/>
                <w:szCs w:val="19"/>
              </w:rPr>
              <w:t>System implementation</w:t>
            </w:r>
          </w:p>
        </w:tc>
        <w:tc>
          <w:tcPr>
            <w:tcW w:w="0" w:type="auto"/>
            <w:tcBorders>
              <w:top w:val="nil"/>
              <w:left w:val="single" w:sz="6" w:space="0" w:color="E0E0E0"/>
              <w:bottom w:val="single" w:sz="6" w:space="0" w:color="E0E0E0"/>
              <w:right w:val="single" w:sz="6" w:space="0" w:color="E0E0E0"/>
            </w:tcBorders>
            <w:hideMark/>
          </w:tcPr>
          <w:p w14:paraId="5F7902DF" w14:textId="77777777" w:rsidR="00FD2C59" w:rsidRPr="00DF6614" w:rsidRDefault="00FD2C59" w:rsidP="00FD2C59">
            <w:pPr>
              <w:rPr>
                <w:sz w:val="19"/>
                <w:szCs w:val="19"/>
              </w:rPr>
            </w:pPr>
            <w:r w:rsidRPr="00DF6614">
              <w:rPr>
                <w:sz w:val="19"/>
                <w:szCs w:val="19"/>
              </w:rPr>
              <w:t>Gateway, event processing, storage, deterministic insights, alert path, and observability are implemented in the local composition.</w:t>
            </w:r>
          </w:p>
        </w:tc>
        <w:tc>
          <w:tcPr>
            <w:tcW w:w="0" w:type="auto"/>
            <w:tcBorders>
              <w:top w:val="nil"/>
              <w:left w:val="single" w:sz="6" w:space="0" w:color="E0E0E0"/>
              <w:bottom w:val="single" w:sz="6" w:space="0" w:color="E0E0E0"/>
              <w:right w:val="single" w:sz="6" w:space="0" w:color="E0E0E0"/>
            </w:tcBorders>
            <w:hideMark/>
          </w:tcPr>
          <w:p w14:paraId="40700453" w14:textId="77777777" w:rsidR="00FD2C59" w:rsidRPr="00DF6614" w:rsidRDefault="00FD2C59" w:rsidP="00FD2C59">
            <w:pPr>
              <w:rPr>
                <w:sz w:val="19"/>
                <w:szCs w:val="19"/>
              </w:rPr>
            </w:pPr>
            <w:r w:rsidRPr="00DF6614">
              <w:rPr>
                <w:sz w:val="19"/>
                <w:szCs w:val="19"/>
              </w:rPr>
              <w:t xml:space="preserve">Production-scale capacity, full recovery </w:t>
            </w:r>
            <w:proofErr w:type="spellStart"/>
            <w:r w:rsidRPr="00DF6614">
              <w:rPr>
                <w:sz w:val="19"/>
                <w:szCs w:val="19"/>
              </w:rPr>
              <w:t>behavior</w:t>
            </w:r>
            <w:proofErr w:type="spellEnd"/>
            <w:r w:rsidRPr="00DF6614">
              <w:rPr>
                <w:sz w:val="19"/>
                <w:szCs w:val="19"/>
              </w:rPr>
              <w:t>, and independent penetration security testing.</w:t>
            </w:r>
          </w:p>
        </w:tc>
      </w:tr>
      <w:tr w:rsidR="00FD2C59" w:rsidRPr="00FD2C59" w14:paraId="6E6A5746" w14:textId="77777777">
        <w:trPr>
          <w:trHeight w:val="540"/>
        </w:trPr>
        <w:tc>
          <w:tcPr>
            <w:tcW w:w="0" w:type="auto"/>
            <w:tcBorders>
              <w:top w:val="nil"/>
              <w:left w:val="single" w:sz="6" w:space="0" w:color="E0E0E0"/>
              <w:bottom w:val="single" w:sz="6" w:space="0" w:color="E0E0E0"/>
              <w:right w:val="single" w:sz="6" w:space="0" w:color="E0E0E0"/>
            </w:tcBorders>
            <w:hideMark/>
          </w:tcPr>
          <w:p w14:paraId="7917425A" w14:textId="77777777" w:rsidR="00FD2C59" w:rsidRPr="00DF6614" w:rsidRDefault="00FD2C59" w:rsidP="00FD2C59">
            <w:pPr>
              <w:rPr>
                <w:sz w:val="19"/>
                <w:szCs w:val="19"/>
              </w:rPr>
            </w:pPr>
            <w:r w:rsidRPr="00DF6614">
              <w:rPr>
                <w:sz w:val="19"/>
                <w:szCs w:val="19"/>
              </w:rPr>
              <w:t>Baseline legacy</w:t>
            </w:r>
          </w:p>
        </w:tc>
        <w:tc>
          <w:tcPr>
            <w:tcW w:w="0" w:type="auto"/>
            <w:tcBorders>
              <w:top w:val="nil"/>
              <w:left w:val="single" w:sz="6" w:space="0" w:color="E0E0E0"/>
              <w:bottom w:val="single" w:sz="6" w:space="0" w:color="E0E0E0"/>
              <w:right w:val="single" w:sz="6" w:space="0" w:color="E0E0E0"/>
            </w:tcBorders>
            <w:hideMark/>
          </w:tcPr>
          <w:p w14:paraId="0C596119" w14:textId="77777777" w:rsidR="00FD2C59" w:rsidRPr="00DF6614" w:rsidRDefault="00FD2C59" w:rsidP="00FD2C59">
            <w:pPr>
              <w:rPr>
                <w:sz w:val="19"/>
                <w:szCs w:val="19"/>
              </w:rPr>
            </w:pPr>
            <w:r w:rsidRPr="00DF6614">
              <w:rPr>
                <w:sz w:val="19"/>
                <w:szCs w:val="19"/>
              </w:rPr>
              <w:t>A dated endpoint smoke test passed, and offline reproduction of historical Random Forest metrics was exact with the copied CSV.</w:t>
            </w:r>
          </w:p>
        </w:tc>
        <w:tc>
          <w:tcPr>
            <w:tcW w:w="0" w:type="auto"/>
            <w:tcBorders>
              <w:top w:val="nil"/>
              <w:left w:val="single" w:sz="6" w:space="0" w:color="E0E0E0"/>
              <w:bottom w:val="single" w:sz="6" w:space="0" w:color="E0E0E0"/>
              <w:right w:val="single" w:sz="6" w:space="0" w:color="E0E0E0"/>
            </w:tcBorders>
            <w:hideMark/>
          </w:tcPr>
          <w:p w14:paraId="5BEEACDC" w14:textId="77777777" w:rsidR="00FD2C59" w:rsidRPr="00DF6614" w:rsidRDefault="00FD2C59" w:rsidP="00FD2C59">
            <w:pPr>
              <w:rPr>
                <w:sz w:val="19"/>
                <w:szCs w:val="19"/>
              </w:rPr>
            </w:pPr>
            <w:r w:rsidRPr="00DF6614">
              <w:rPr>
                <w:sz w:val="19"/>
                <w:szCs w:val="19"/>
              </w:rPr>
              <w:t>External data provenance, actual household generalisation, REFIT accuracy, and a complete post-restart ML-to-alert outcome.</w:t>
            </w:r>
          </w:p>
        </w:tc>
      </w:tr>
      <w:tr w:rsidR="00FD2C59" w:rsidRPr="00FD2C59" w14:paraId="24588D27" w14:textId="77777777">
        <w:trPr>
          <w:trHeight w:val="540"/>
        </w:trPr>
        <w:tc>
          <w:tcPr>
            <w:tcW w:w="0" w:type="auto"/>
            <w:tcBorders>
              <w:top w:val="nil"/>
              <w:left w:val="single" w:sz="6" w:space="0" w:color="E0E0E0"/>
              <w:bottom w:val="single" w:sz="6" w:space="0" w:color="E0E0E0"/>
              <w:right w:val="single" w:sz="6" w:space="0" w:color="E0E0E0"/>
            </w:tcBorders>
            <w:hideMark/>
          </w:tcPr>
          <w:p w14:paraId="00A31317" w14:textId="77777777" w:rsidR="00FD2C59" w:rsidRPr="00DF6614" w:rsidRDefault="00FD2C59" w:rsidP="00FD2C59">
            <w:pPr>
              <w:rPr>
                <w:sz w:val="19"/>
                <w:szCs w:val="19"/>
              </w:rPr>
            </w:pPr>
            <w:r w:rsidRPr="00DF6614">
              <w:rPr>
                <w:sz w:val="19"/>
                <w:szCs w:val="19"/>
              </w:rPr>
              <w:t>REFIT data</w:t>
            </w:r>
          </w:p>
        </w:tc>
        <w:tc>
          <w:tcPr>
            <w:tcW w:w="0" w:type="auto"/>
            <w:tcBorders>
              <w:top w:val="nil"/>
              <w:left w:val="single" w:sz="6" w:space="0" w:color="E0E0E0"/>
              <w:bottom w:val="single" w:sz="6" w:space="0" w:color="E0E0E0"/>
              <w:right w:val="single" w:sz="6" w:space="0" w:color="E0E0E0"/>
            </w:tcBorders>
            <w:hideMark/>
          </w:tcPr>
          <w:p w14:paraId="0B201A2C" w14:textId="77777777" w:rsidR="00FD2C59" w:rsidRPr="00DF6614" w:rsidRDefault="00FD2C59" w:rsidP="00FD2C59">
            <w:pPr>
              <w:rPr>
                <w:sz w:val="19"/>
                <w:szCs w:val="19"/>
              </w:rPr>
            </w:pPr>
            <w:r w:rsidRPr="00DF6614">
              <w:rPr>
                <w:sz w:val="19"/>
                <w:szCs w:val="19"/>
              </w:rPr>
              <w:t>Five local official files were MD5-validated; H1/H2/H4 interval artefacts were normalised and replicated byte-for-byte.</w:t>
            </w:r>
          </w:p>
        </w:tc>
        <w:tc>
          <w:tcPr>
            <w:tcW w:w="0" w:type="auto"/>
            <w:tcBorders>
              <w:top w:val="nil"/>
              <w:left w:val="single" w:sz="6" w:space="0" w:color="E0E0E0"/>
              <w:bottom w:val="single" w:sz="6" w:space="0" w:color="E0E0E0"/>
              <w:right w:val="single" w:sz="6" w:space="0" w:color="E0E0E0"/>
            </w:tcBorders>
            <w:hideMark/>
          </w:tcPr>
          <w:p w14:paraId="6998C208" w14:textId="77777777" w:rsidR="00FD2C59" w:rsidRPr="00DF6614" w:rsidRDefault="00FD2C59" w:rsidP="00FD2C59">
            <w:pPr>
              <w:rPr>
                <w:sz w:val="19"/>
                <w:szCs w:val="19"/>
              </w:rPr>
            </w:pPr>
            <w:r w:rsidRPr="00DF6614">
              <w:rPr>
                <w:sz w:val="19"/>
                <w:szCs w:val="19"/>
              </w:rPr>
              <w:t>End-to-end ingestion, device/token provisioning, pilot/full replay, alert deduplication, and aggregate anomaly-label evaluation.</w:t>
            </w:r>
          </w:p>
        </w:tc>
      </w:tr>
      <w:tr w:rsidR="00FD2C59" w:rsidRPr="00FD2C59" w14:paraId="02921FA8" w14:textId="77777777">
        <w:trPr>
          <w:trHeight w:val="540"/>
        </w:trPr>
        <w:tc>
          <w:tcPr>
            <w:tcW w:w="0" w:type="auto"/>
            <w:tcBorders>
              <w:top w:val="nil"/>
              <w:left w:val="single" w:sz="6" w:space="0" w:color="E0E0E0"/>
              <w:bottom w:val="single" w:sz="6" w:space="0" w:color="E0E0E0"/>
              <w:right w:val="single" w:sz="6" w:space="0" w:color="E0E0E0"/>
            </w:tcBorders>
            <w:hideMark/>
          </w:tcPr>
          <w:p w14:paraId="742BE409" w14:textId="77777777" w:rsidR="00FD2C59" w:rsidRPr="00DF6614" w:rsidRDefault="00FD2C59" w:rsidP="00FD2C59">
            <w:pPr>
              <w:rPr>
                <w:sz w:val="19"/>
                <w:szCs w:val="19"/>
              </w:rPr>
            </w:pPr>
            <w:r w:rsidRPr="00DF6614">
              <w:rPr>
                <w:sz w:val="19"/>
                <w:szCs w:val="19"/>
              </w:rPr>
              <w:t>Deployment viability</w:t>
            </w:r>
          </w:p>
        </w:tc>
        <w:tc>
          <w:tcPr>
            <w:tcW w:w="0" w:type="auto"/>
            <w:tcBorders>
              <w:top w:val="nil"/>
              <w:left w:val="single" w:sz="6" w:space="0" w:color="E0E0E0"/>
              <w:bottom w:val="single" w:sz="6" w:space="0" w:color="E0E0E0"/>
              <w:right w:val="single" w:sz="6" w:space="0" w:color="E0E0E0"/>
            </w:tcBorders>
            <w:hideMark/>
          </w:tcPr>
          <w:p w14:paraId="52D8296D" w14:textId="77777777" w:rsidR="00FD2C59" w:rsidRPr="00DF6614" w:rsidRDefault="00FD2C59" w:rsidP="00FD2C59">
            <w:pPr>
              <w:rPr>
                <w:sz w:val="19"/>
                <w:szCs w:val="19"/>
              </w:rPr>
            </w:pPr>
            <w:r w:rsidRPr="00DF6614">
              <w:rPr>
                <w:sz w:val="19"/>
                <w:szCs w:val="19"/>
              </w:rPr>
              <w:t>Isolated-experiment design and safety assessments define necessary provisioning and storage boundaries.</w:t>
            </w:r>
          </w:p>
        </w:tc>
        <w:tc>
          <w:tcPr>
            <w:tcW w:w="0" w:type="auto"/>
            <w:tcBorders>
              <w:top w:val="nil"/>
              <w:left w:val="single" w:sz="6" w:space="0" w:color="E0E0E0"/>
              <w:bottom w:val="single" w:sz="6" w:space="0" w:color="E0E0E0"/>
              <w:right w:val="single" w:sz="6" w:space="0" w:color="E0E0E0"/>
            </w:tcBorders>
            <w:hideMark/>
          </w:tcPr>
          <w:p w14:paraId="49BA13B0" w14:textId="77777777" w:rsidR="00FD2C59" w:rsidRPr="00DF6614" w:rsidRDefault="00FD2C59" w:rsidP="00FD2C59">
            <w:pPr>
              <w:rPr>
                <w:sz w:val="19"/>
                <w:szCs w:val="19"/>
              </w:rPr>
            </w:pPr>
            <w:r w:rsidRPr="00DF6614">
              <w:rPr>
                <w:sz w:val="19"/>
                <w:szCs w:val="19"/>
              </w:rPr>
              <w:t>Safe isolated deployment on the 8 GB laptop while the main stack is running; the measured memory constraint prevents concurrent operation.</w:t>
            </w:r>
          </w:p>
        </w:tc>
      </w:tr>
    </w:tbl>
    <w:p w14:paraId="2CDF8BF0" w14:textId="77777777" w:rsidR="00DF6614" w:rsidRDefault="00DF6614" w:rsidP="00FD2C59">
      <w:pPr>
        <w:rPr>
          <w:b/>
          <w:bCs/>
        </w:rPr>
      </w:pPr>
    </w:p>
    <w:p w14:paraId="3AD525E8" w14:textId="70D81661" w:rsidR="00FD2C59" w:rsidRPr="00DF6614" w:rsidRDefault="00FD2C59" w:rsidP="00FD2C59">
      <w:pPr>
        <w:rPr>
          <w:b/>
          <w:bCs/>
          <w:sz w:val="28"/>
          <w:szCs w:val="28"/>
        </w:rPr>
      </w:pPr>
      <w:r w:rsidRPr="00DF6614">
        <w:rPr>
          <w:b/>
          <w:bCs/>
          <w:sz w:val="28"/>
          <w:szCs w:val="28"/>
        </w:rPr>
        <w:t>5. Limitations and Future Work</w:t>
      </w:r>
    </w:p>
    <w:p w14:paraId="332702E8" w14:textId="77777777" w:rsidR="00DF6614" w:rsidRPr="00DF6614" w:rsidRDefault="00DF6614" w:rsidP="00FD2C59">
      <w:pPr>
        <w:rPr>
          <w:sz w:val="2"/>
          <w:szCs w:val="2"/>
        </w:rPr>
      </w:pPr>
    </w:p>
    <w:p w14:paraId="1E1BFFC4" w14:textId="1708440A" w:rsidR="00FD2C59" w:rsidRPr="00FD2C59" w:rsidRDefault="00FD2C59" w:rsidP="00FD2C59">
      <w:r>
        <w:t>Historical CSV provenance and simulator boundary. The 5,000-record labelled CSV does not provide enough information to independently establish its complete provenance, licence, label-generation procedure, household identity, or the causal construction of Avg_Past_Consumption. Its historical metrics, including their exact offline reproduction, are reproducibility evidence for that legacy dataset rather than generalisation evidence. Likewise, Wokwi-compatible requests demonstrate interface execution only; they do not calibrate a physical sensor, verify utility-bill accuracy, or validate real-household telemetry.</w:t>
      </w:r>
    </w:p>
    <w:p w14:paraId="332FBB73" w14:textId="77777777" w:rsidR="00FD2C59" w:rsidRPr="00FD2C59" w:rsidRDefault="00FD2C59" w:rsidP="00FD2C59">
      <w:r>
        <w:t>REFIT labels and runtime integration. REFIT provides documented household aggregate-power records, but file integrity, cohort preparation, and byte-identical transformation do not establish aggregate anomaly ground truth. Annotation alignment, timestamp semantics, and the relationship between available context records and selected aggregate intervals still require verification. Runtime integration remains incomplete: isolated H1/H2/H4 profiles, device credentials, data-contract mapping, pilot replay, event reconciliation, duplicate suppression, alert delivery, and fault/recovery behaviour have not been experimentally tested.</w:t>
      </w:r>
    </w:p>
    <w:p w14:paraId="4936FBED" w14:textId="77777777" w:rsidR="00FD2C59" w:rsidRDefault="00FD2C59" w:rsidP="00FD2C59">
      <w:r>
        <w:t>Resource, performance, and security boundary. The 8 GB Windows laptop, 3.696 GiB Docker limit, and approximately 2.89 GiB observed main-stack requirement prevent safe concurrent operation of the isolated REFIT provisioning stack and the main stack. Comprehensive latency, throughput, scalability, fault-tolerance, and independent security tests are also absent. These constraints limit the scope of the present evidence and do not indicate a production deployment.</w:t>
      </w:r>
    </w:p>
    <w:p>
      <w:r>
        <w:t>Staged future validation. The next experiment should first verify the derived_interval_energy_kwh-to-energyConsumed data contract and provision isolated H1/H2/H4 profiles with device-bound credentials. It should then run a small pilot replay, reconcile every accepted and rejected event, validate label alignment, and only then consider a controlled full-household replay. Repeated latency and throughput measurements, input-range controls, deduplication checks, and fault/recovery tests should remain separate acceptance gates.</w:t>
      </w:r>
    </w:p>
    <w:p w14:paraId="01EF234C" w14:textId="77777777" w:rsidR="00DF6614" w:rsidRPr="00DF6614" w:rsidRDefault="00DF6614" w:rsidP="00FD2C59">
      <w:pPr>
        <w:rPr>
          <w:sz w:val="2"/>
          <w:szCs w:val="2"/>
        </w:rPr>
      </w:pPr>
    </w:p>
    <w:p w14:paraId="5D6B8212" w14:textId="77777777" w:rsidR="00FD2C59" w:rsidRPr="00DF6614" w:rsidRDefault="00FD2C59" w:rsidP="00FD2C59">
      <w:pPr>
        <w:rPr>
          <w:b/>
          <w:bCs/>
          <w:sz w:val="28"/>
          <w:szCs w:val="28"/>
        </w:rPr>
      </w:pPr>
      <w:r w:rsidRPr="00DF6614">
        <w:rPr>
          <w:b/>
          <w:bCs/>
          <w:sz w:val="28"/>
          <w:szCs w:val="28"/>
        </w:rPr>
        <w:t>6. Conclusion</w:t>
      </w:r>
    </w:p>
    <w:p w14:paraId="36AB5E75" w14:textId="77777777" w:rsidR="00DF6614" w:rsidRPr="00DF6614" w:rsidRDefault="00DF6614" w:rsidP="00FD2C59">
      <w:pPr>
        <w:rPr>
          <w:sz w:val="2"/>
          <w:szCs w:val="2"/>
        </w:rPr>
      </w:pPr>
    </w:p>
    <w:p w14:paraId="0069D79E" w14:textId="4E29DA5F" w:rsidR="00FD2C59" w:rsidRPr="00FD2C59" w:rsidRDefault="00FD2C59" w:rsidP="00FD2C59">
      <w:r>
        <w:t>This study documents a local, evidence-aware Home Energy Tracker with gateway-mediated admission, Kafka event processing, time-series and relational storage, deterministic insights, a legacy Random Forest inference service, a duplicate-aware alert path, and observability. The historical classifier was reproduced offline with its dataset-specific metrics, while a separate endpoint smoke test was correctly limited to interface execution. REFIT work established checksum-verified inputs, a defined H1/H2/H4 primary cohort, actual-delta interval-energy normalisation, quality controls, and deterministic reproduction of derived artefacts.</w:t>
      </w:r>
    </w:p>
    <w:p w14:paraId="77816B29" w14:textId="77777777" w:rsidR="00FD2C59" w:rsidRDefault="00FD2C59" w:rsidP="00FD2C59">
      <w:r>
        <w:t>The contribution is therefore architectural traceability, historical-experiment reproducibility, and recorded-household data preparation—not real-household anomaly accuracy or end-to-end runtime reliability. Future validation must proceed through isolated provisioning, data-contract verification, a small pilot replay with event reconciliation, label-alignment review, and only then a controlled H1/H2/H4 replay with deduplication, recovery, and performance tests.</w:t>
      </w:r>
    </w:p>
    <w:p w14:paraId="58D76AFE" w14:textId="77777777" w:rsidR="00610123" w:rsidRPr="00610123" w:rsidRDefault="00610123" w:rsidP="00FD2C59">
      <w:pPr>
        <w:rPr>
          <w:sz w:val="2"/>
          <w:szCs w:val="2"/>
        </w:rPr>
      </w:pPr>
    </w:p>
    <w:p w14:paraId="3AF90EE3" w14:textId="6C62F246" w:rsidR="00FD2C59" w:rsidRPr="00DF6614" w:rsidRDefault="00FD2C59" w:rsidP="00FD2C59">
      <w:pPr>
        <w:rPr>
          <w:b/>
          <w:bCs/>
          <w:sz w:val="28"/>
          <w:szCs w:val="28"/>
        </w:rPr>
      </w:pPr>
      <w:r>
        <w:rPr>
          <w:b/>
          <w:bCs/>
          <w:sz w:val="28"/>
          <w:szCs w:val="28"/>
        </w:rPr>
        <w:t>CRediT Authorship Contribution Statement</w:t>
      </w:r>
    </w:p>
    <w:p w14:paraId="6DE98C99" w14:textId="77777777" w:rsidR="00610123" w:rsidRPr="00610123" w:rsidRDefault="00610123" w:rsidP="00FD2C59">
      <w:pPr>
        <w:rPr>
          <w:sz w:val="2"/>
          <w:szCs w:val="2"/>
        </w:rPr>
      </w:pPr>
    </w:p>
    <w:p w14:paraId="77830863" w14:textId="34748D92" w:rsidR="00610123" w:rsidRDefault="00951980" w:rsidP="00702086">
      <w:r>
        <w:t>Rohit Shrivastava: Conceptualization, methodology, software, REFIT data preprocessing, formal analysis, visualisation, and writing—original draft. Harsh Gupta: Microservice implementation, Docker integration, validation and testing, and writing—review and editing. Anshika Rai: Literature review, data curation, documentation, result-table and visualisation preparation, and writing—review and editing. Syamasudha Veeragandham: Methodology review, validation, writing—review and editing, project coordination, and correspondence.</w:t>
      </w:r>
    </w:p>
    <w:p w14:paraId="4D4EA98B" w14:textId="77777777" w:rsidR="00702086" w:rsidRPr="00702086" w:rsidRDefault="00702086" w:rsidP="00702086">
      <w:pPr>
        <w:rPr>
          <w:sz w:val="2"/>
          <w:szCs w:val="2"/>
        </w:rPr>
      </w:pPr>
    </w:p>
    <w:p w14:paraId="10CC90CD" w14:textId="77777777" w:rsidR="00FD2C59" w:rsidRPr="00DF6614" w:rsidRDefault="00FD2C59" w:rsidP="00FD2C59">
      <w:pPr>
        <w:rPr>
          <w:b/>
          <w:bCs/>
          <w:sz w:val="28"/>
          <w:szCs w:val="28"/>
        </w:rPr>
      </w:pPr>
      <w:r w:rsidRPr="00DF6614">
        <w:rPr>
          <w:b/>
          <w:bCs/>
          <w:sz w:val="28"/>
          <w:szCs w:val="28"/>
        </w:rPr>
        <w:lastRenderedPageBreak/>
        <w:t>Funding Statement</w:t>
      </w:r>
    </w:p>
    <w:p w14:paraId="1EA9815F" w14:textId="77777777" w:rsidR="00610123" w:rsidRPr="00610123" w:rsidRDefault="00610123" w:rsidP="00FD2C59">
      <w:pPr>
        <w:rPr>
          <w:sz w:val="2"/>
          <w:szCs w:val="2"/>
        </w:rPr>
      </w:pPr>
    </w:p>
    <w:p w14:paraId="12DBCA56" w14:textId="0C5C9B12" w:rsidR="00FD2C59" w:rsidRDefault="00951980" w:rsidP="00FD2C59">
      <w:r>
        <w:t>No external funding, grant, or other support was received for this work.</w:t>
      </w:r>
    </w:p>
    <w:p w14:paraId="6B164894" w14:textId="77777777" w:rsidR="00610123" w:rsidRPr="00610123" w:rsidRDefault="00610123" w:rsidP="00FD2C59">
      <w:pPr>
        <w:rPr>
          <w:sz w:val="2"/>
          <w:szCs w:val="2"/>
        </w:rPr>
      </w:pPr>
    </w:p>
    <w:p w14:paraId="14EE121F" w14:textId="77777777" w:rsidR="00FD2C59" w:rsidRPr="00DF6614" w:rsidRDefault="00FD2C59" w:rsidP="00FD2C59">
      <w:pPr>
        <w:rPr>
          <w:b/>
          <w:bCs/>
          <w:sz w:val="28"/>
          <w:szCs w:val="28"/>
        </w:rPr>
      </w:pPr>
      <w:r w:rsidRPr="00DF6614">
        <w:rPr>
          <w:b/>
          <w:bCs/>
          <w:sz w:val="28"/>
          <w:szCs w:val="28"/>
        </w:rPr>
        <w:t>Declaration of Competing Interests</w:t>
      </w:r>
    </w:p>
    <w:p w14:paraId="0D8AF599" w14:textId="77777777" w:rsidR="00610123" w:rsidRPr="00610123" w:rsidRDefault="00610123" w:rsidP="00FD2C59">
      <w:pPr>
        <w:rPr>
          <w:sz w:val="2"/>
          <w:szCs w:val="2"/>
        </w:rPr>
      </w:pPr>
    </w:p>
    <w:p w14:paraId="38A75CE4" w14:textId="77777777" w:rsidR="00951980" w:rsidRPr="00951980" w:rsidRDefault="00951980" w:rsidP="00951980">
      <w:r>
        <w:t>The authors declare no competing financial interests or personal relationships that could have influenced the work reported in this paper.</w:t>
      </w:r>
    </w:p>
    <w:p w14:paraId="470CB229" w14:textId="77777777" w:rsidR="00610123" w:rsidRPr="00610123" w:rsidRDefault="00610123" w:rsidP="00FD2C59">
      <w:pPr>
        <w:rPr>
          <w:sz w:val="2"/>
          <w:szCs w:val="2"/>
        </w:rPr>
      </w:pPr>
    </w:p>
    <w:p w14:paraId="25D2E648" w14:textId="77777777" w:rsidR="00FD2C59" w:rsidRPr="00DF6614" w:rsidRDefault="00FD2C59" w:rsidP="00FD2C59">
      <w:pPr>
        <w:rPr>
          <w:b/>
          <w:bCs/>
          <w:sz w:val="28"/>
          <w:szCs w:val="28"/>
        </w:rPr>
      </w:pPr>
      <w:r w:rsidRPr="00DF6614">
        <w:rPr>
          <w:b/>
          <w:bCs/>
          <w:sz w:val="28"/>
          <w:szCs w:val="28"/>
        </w:rPr>
        <w:t>Data Availability</w:t>
      </w:r>
    </w:p>
    <w:p w14:paraId="3A9D9507" w14:textId="77777777" w:rsidR="00610123" w:rsidRPr="00610123" w:rsidRDefault="00610123" w:rsidP="00FD2C59">
      <w:pPr>
        <w:rPr>
          <w:sz w:val="2"/>
          <w:szCs w:val="2"/>
        </w:rPr>
      </w:pPr>
    </w:p>
    <w:p w14:paraId="26D90BEF" w14:textId="4D1BB28C" w:rsidR="00FD2C59" w:rsidRPr="00FD2C59" w:rsidRDefault="00FD2C59" w:rsidP="00FD2C59">
      <w:r>
        <w:t>The cleaned REFIT data are identified through the dataset records in [6] and [7]. The historical labelled CSV and locally generated preprocessing artefacts are not declared as a public release in the available materials; their availability therefore cannot be guaranteed and remains subject to applicable source terms and author approval.</w:t>
      </w:r>
    </w:p>
    <w:p w14:paraId="20552723" w14:textId="77777777" w:rsidR="00610123" w:rsidRPr="00702086" w:rsidRDefault="00610123" w:rsidP="00FD2C59">
      <w:pPr>
        <w:rPr>
          <w:b/>
          <w:bCs/>
          <w:sz w:val="2"/>
          <w:szCs w:val="2"/>
        </w:rPr>
      </w:pPr>
    </w:p>
    <w:p w14:paraId="6FAB9701" w14:textId="39D44B2F" w:rsidR="00FD2C59" w:rsidRDefault="00FD2C59" w:rsidP="00FD2C59">
      <w:pPr>
        <w:rPr>
          <w:b/>
          <w:bCs/>
          <w:sz w:val="28"/>
          <w:szCs w:val="28"/>
        </w:rPr>
      </w:pPr>
      <w:r w:rsidRPr="00DF6614">
        <w:rPr>
          <w:b/>
          <w:bCs/>
          <w:sz w:val="28"/>
          <w:szCs w:val="28"/>
        </w:rPr>
        <w:t>References</w:t>
      </w:r>
    </w:p>
    <w:p w14:paraId="779B4AE5" w14:textId="77777777" w:rsidR="00610123" w:rsidRPr="00610123" w:rsidRDefault="00610123" w:rsidP="00FD2C59">
      <w:pPr>
        <w:rPr>
          <w:b/>
          <w:bCs/>
          <w:sz w:val="2"/>
          <w:szCs w:val="2"/>
        </w:rPr>
      </w:pPr>
    </w:p>
    <w:p w14:paraId="24CCF0A2" w14:textId="77777777" w:rsidR="00FD2C59" w:rsidRPr="00FD2C59" w:rsidRDefault="00FD2C59" w:rsidP="00FD2C59">
      <w:r w:rsidRPr="00FD2C59">
        <w:t xml:space="preserve">[1] C. Rovetto, E. Cruz, A. Smolarz, D. Concepcion, E. E. </w:t>
      </w:r>
      <w:proofErr w:type="spellStart"/>
      <w:r w:rsidRPr="00FD2C59">
        <w:t>Cano</w:t>
      </w:r>
      <w:proofErr w:type="spellEnd"/>
      <w:r w:rsidRPr="00FD2C59">
        <w:t xml:space="preserve">, and I. Nuñez, "Design of a microservices-based architecture for residential energy efficiency monitoring," International Journal of Electronics and Telecommunications, vol. 70, no. 4, pp. 1089–1098, 2024, </w:t>
      </w:r>
      <w:proofErr w:type="spellStart"/>
      <w:r w:rsidRPr="00FD2C59">
        <w:t>doi</w:t>
      </w:r>
      <w:proofErr w:type="spellEnd"/>
      <w:r w:rsidRPr="00FD2C59">
        <w:t>: 10.24425/ijet.2024.152511.</w:t>
      </w:r>
    </w:p>
    <w:p w14:paraId="653846A6" w14:textId="77777777" w:rsidR="00FD2C59" w:rsidRPr="00FD2C59" w:rsidRDefault="00FD2C59" w:rsidP="00FD2C59">
      <w:r w:rsidRPr="00FD2C59">
        <w:t xml:space="preserve">[2] L. L. Motta, W. S. Alvarez, H. R. Carvajal, F. B. Neto, E. R. de Lima, and L. G. P. Meloni, “A cloud architecture for home energy management systems: a conceptual model,” Energy Informatics, vol. 8, Art. no. 142, 2025, </w:t>
      </w:r>
      <w:proofErr w:type="spellStart"/>
      <w:r w:rsidRPr="00FD2C59">
        <w:t>doi</w:t>
      </w:r>
      <w:proofErr w:type="spellEnd"/>
      <w:r w:rsidRPr="00FD2C59">
        <w:t>: 10.1186/s42162-025-00599-1.</w:t>
      </w:r>
    </w:p>
    <w:p w14:paraId="3AFB394E" w14:textId="77777777" w:rsidR="00FD2C59" w:rsidRPr="00FD2C59" w:rsidRDefault="00FD2C59" w:rsidP="00FD2C59">
      <w:r w:rsidRPr="00FD2C59">
        <w:t xml:space="preserve">[3] A. F. S. Veloso, J. V. Reis, Jr., and R. A. L. Rabelo, “A Microservices-Based Solution with Hybrid Communication for Energy Management in Smart Grid Environments,” Sensors, vol. 26, no. 5, Art. no. 1714, 2026, </w:t>
      </w:r>
      <w:proofErr w:type="spellStart"/>
      <w:r w:rsidRPr="00FD2C59">
        <w:t>doi</w:t>
      </w:r>
      <w:proofErr w:type="spellEnd"/>
      <w:r w:rsidRPr="00FD2C59">
        <w:t>: 10.3390/s26051714.</w:t>
      </w:r>
    </w:p>
    <w:p w14:paraId="52D2277F" w14:textId="77777777" w:rsidR="00FD2C59" w:rsidRPr="00FD2C59" w:rsidRDefault="00FD2C59" w:rsidP="00FD2C59">
      <w:r w:rsidRPr="00FD2C59">
        <w:t xml:space="preserve">[4] Á. Hernández, R. Nieto, L. de Diego-Otón, M. C. Pérez-Rubio, J. M. </w:t>
      </w:r>
      <w:proofErr w:type="spellStart"/>
      <w:r w:rsidRPr="00FD2C59">
        <w:t>Villadangos</w:t>
      </w:r>
      <w:proofErr w:type="spellEnd"/>
      <w:r w:rsidRPr="00FD2C59">
        <w:t xml:space="preserve">-Carrizo, D. Pizarro, and J. Ureña, “Detection of Anomalies in Daily Activities Using Data from Smart Meters,” Sensors, vol. 24, no. 2, Art. no. 515, 2024, </w:t>
      </w:r>
      <w:proofErr w:type="spellStart"/>
      <w:r w:rsidRPr="00FD2C59">
        <w:t>doi</w:t>
      </w:r>
      <w:proofErr w:type="spellEnd"/>
      <w:r w:rsidRPr="00FD2C59">
        <w:t>: 10.3390/s24020515.</w:t>
      </w:r>
    </w:p>
    <w:p w14:paraId="63421BE2" w14:textId="77777777" w:rsidR="00FD2C59" w:rsidRPr="00FD2C59" w:rsidRDefault="00FD2C59" w:rsidP="00FD2C59">
      <w:r w:rsidRPr="00FD2C59">
        <w:t xml:space="preserve">[5] D. Murray, L. Stankovic, and V. Stankovic, “An electrical load measurements dataset of United Kingdom households from a two-year longitudinal study,” Scientific Data, vol. 4, Art. no. 160122, 2017, </w:t>
      </w:r>
      <w:proofErr w:type="spellStart"/>
      <w:r w:rsidRPr="00FD2C59">
        <w:t>doi</w:t>
      </w:r>
      <w:proofErr w:type="spellEnd"/>
      <w:r w:rsidRPr="00FD2C59">
        <w:t>: 10.1038/sdata.2016.122.</w:t>
      </w:r>
    </w:p>
    <w:p w14:paraId="7A34AAC1" w14:textId="77777777" w:rsidR="00FD2C59" w:rsidRPr="00FD2C59" w:rsidRDefault="00FD2C59" w:rsidP="00FD2C59">
      <w:r w:rsidRPr="00FD2C59">
        <w:lastRenderedPageBreak/>
        <w:t xml:space="preserve">[6] D. Murray, L. Stankovic, and V. Stankovic, “REFIT: Electrical Load Measurements (Cleaned),” dataset, University of Strathclyde, Jun. 2016, </w:t>
      </w:r>
      <w:proofErr w:type="spellStart"/>
      <w:r w:rsidRPr="00FD2C59">
        <w:t>doi</w:t>
      </w:r>
      <w:proofErr w:type="spellEnd"/>
      <w:r w:rsidRPr="00FD2C59">
        <w:t>: 10.15129/9ab14b0e-19ac-4279-938f-27f643078cec.</w:t>
      </w:r>
    </w:p>
    <w:p w14:paraId="51879F67" w14:textId="77777777" w:rsidR="00FD2C59" w:rsidRPr="00FD2C59" w:rsidRDefault="00FD2C59" w:rsidP="00FD2C59">
      <w:r w:rsidRPr="00FD2C59">
        <w:t xml:space="preserve">[7] D. Murray and L. Stankovic, “REFIT: Electrical Load Measurements (Cleaned),” </w:t>
      </w:r>
      <w:proofErr w:type="spellStart"/>
      <w:r w:rsidRPr="00FD2C59">
        <w:t>Zenodo</w:t>
      </w:r>
      <w:proofErr w:type="spellEnd"/>
      <w:r w:rsidRPr="00FD2C59">
        <w:t xml:space="preserve">, dataset, Jun. 2016, </w:t>
      </w:r>
      <w:proofErr w:type="spellStart"/>
      <w:r w:rsidRPr="00FD2C59">
        <w:t>doi</w:t>
      </w:r>
      <w:proofErr w:type="spellEnd"/>
      <w:r w:rsidRPr="00FD2C59">
        <w:t>: 10.5281/zenodo.5063428.</w:t>
      </w:r>
    </w:p>
    <w:p w14:paraId="5AFB24D5" w14:textId="77777777" w:rsidR="00FD2C59" w:rsidRPr="00FD2C59" w:rsidRDefault="00FD2C59" w:rsidP="00FD2C59">
      <w:r w:rsidRPr="00FD2C59">
        <w:t xml:space="preserve">[8] K. Kulkarni, R. </w:t>
      </w:r>
      <w:proofErr w:type="spellStart"/>
      <w:r w:rsidRPr="00FD2C59">
        <w:t>Dantakale</w:t>
      </w:r>
      <w:proofErr w:type="spellEnd"/>
      <w:r w:rsidRPr="00FD2C59">
        <w:t xml:space="preserve">, S. Mande, S. Kshatriya, and M. Agrawal, “Anomaly Detection in Smart Electric Meters for Detecting Faults and Misuse of Electric Energy Consumption,” International Journal of Scientific Research in Engineering and Management, vol. 8, no. 5, pp. 1–5, May 2024, </w:t>
      </w:r>
      <w:proofErr w:type="spellStart"/>
      <w:r w:rsidRPr="00FD2C59">
        <w:t>doi</w:t>
      </w:r>
      <w:proofErr w:type="spellEnd"/>
      <w:r w:rsidRPr="00FD2C59">
        <w:t>: 10.55041/IJSREM34689.</w:t>
      </w:r>
    </w:p>
    <w:p w14:paraId="6FC0E73A" w14:textId="77777777" w:rsidR="00FD2C59" w:rsidRPr="00FD2C59" w:rsidRDefault="00FD2C59" w:rsidP="00FD2C59">
      <w:r w:rsidRPr="00FD2C59">
        <w:t xml:space="preserve">[9] M. H. Abu-Arqoub, A. A. </w:t>
      </w:r>
      <w:proofErr w:type="spellStart"/>
      <w:r w:rsidRPr="00FD2C59">
        <w:t>Titinchi</w:t>
      </w:r>
      <w:proofErr w:type="spellEnd"/>
      <w:r w:rsidRPr="00FD2C59">
        <w:t xml:space="preserve">, and R. R. Marie, “A Scalable IoT-AI Framework for Real-Time Energy Anomaly Detection in Smart Grid Networks,” in 2026 2nd International Conference on Computational Intelligence Approaches and Applications (ICCIAA), 2026, pp. 1–6, </w:t>
      </w:r>
      <w:proofErr w:type="spellStart"/>
      <w:r w:rsidRPr="00FD2C59">
        <w:t>doi</w:t>
      </w:r>
      <w:proofErr w:type="spellEnd"/>
      <w:r w:rsidRPr="00FD2C59">
        <w:t>: 10.1109/ICCIAA68481.2026.11543846.</w:t>
      </w:r>
    </w:p>
    <w:p w14:paraId="567392D5" w14:textId="77777777" w:rsidR="00FD2C59" w:rsidRPr="00FD2C59" w:rsidRDefault="00FD2C59" w:rsidP="00FD2C59">
      <w:r w:rsidRPr="00FD2C59">
        <w:t xml:space="preserve">[10] S. Maitra, S. Kundu, and A. Shankar, “A Real-time Anomaly Detection Using Convolutional Autoencoder with Dynamic Threshold,” </w:t>
      </w:r>
      <w:proofErr w:type="spellStart"/>
      <w:r w:rsidRPr="00FD2C59">
        <w:t>arXiv</w:t>
      </w:r>
      <w:proofErr w:type="spellEnd"/>
      <w:r w:rsidRPr="00FD2C59">
        <w:t xml:space="preserve"> preprint arXiv:2404.04311, 2024, </w:t>
      </w:r>
      <w:proofErr w:type="spellStart"/>
      <w:r w:rsidRPr="00FD2C59">
        <w:t>doi</w:t>
      </w:r>
      <w:proofErr w:type="spellEnd"/>
      <w:r w:rsidRPr="00FD2C59">
        <w:t>: 10.48550/arXiv.2404.04311.</w:t>
      </w:r>
    </w:p>
    <w:p w14:paraId="2AD4CB79" w14:textId="77777777" w:rsidR="00FD2C59" w:rsidRPr="00FD2C59" w:rsidRDefault="00FD2C59" w:rsidP="00FD2C59">
      <w:r>
        <w:t>[11] K. Karthika, T. C. G. Thrupthi Chandana, T. Sheikh, Sankeerthana, and Umme, “Smart Energy Monitoring System,” International Journal of Innovative Research in Information Security, vol. 11, no. 9, Oct. 2025, doi: 10.26562/ijiris.2025.v1109.15.</w:t>
      </w:r>
    </w:p>
    <w:p w14:paraId="408EAF7B" w14:textId="77777777" w:rsidR="00FD2C59" w:rsidRPr="00FD2C59" w:rsidRDefault="00FD2C59" w:rsidP="00FD2C59">
      <w:r w:rsidRPr="00FD2C59">
        <w:t xml:space="preserve">[12] J.-H. Liu and Y.-T. Hsiao, “Smart plug-based home energy management with IoT and anomaly detection,” Journal of the Chinese Institute of Engineers, vol. 49, no. 3, pp. 655–670, 2026, </w:t>
      </w:r>
      <w:proofErr w:type="spellStart"/>
      <w:r w:rsidRPr="00FD2C59">
        <w:t>doi</w:t>
      </w:r>
      <w:proofErr w:type="spellEnd"/>
      <w:r w:rsidRPr="00FD2C59">
        <w:t>: 10.1080/02533839.2025.2557233.</w:t>
      </w:r>
    </w:p>
    <w:p w14:paraId="3CEEE94F" w14:textId="77777777" w:rsidR="00FD2C59" w:rsidRPr="00FD2C59" w:rsidRDefault="00FD2C59" w:rsidP="00FD2C59">
      <w:r w:rsidRPr="00FD2C59">
        <w:t xml:space="preserve">[13] K. M. W. Hidayat and M. G. Al-Faris, “IoT-Based Electrical Power Consumption Monitoring System in Households Using ESP32 and PZEM-004T,” Brilliance: Research of Artificial Intelligence, vol. 5, no. 2, pp. 1077–1081, 2025, </w:t>
      </w:r>
      <w:proofErr w:type="spellStart"/>
      <w:r w:rsidRPr="00FD2C59">
        <w:t>doi</w:t>
      </w:r>
      <w:proofErr w:type="spellEnd"/>
      <w:r w:rsidRPr="00FD2C59">
        <w:t>: 10.47709/brilliance.v5i2.6368.</w:t>
      </w:r>
    </w:p>
    <w:p w14:paraId="34795D8E" w14:textId="77777777" w:rsidR="00FD2C59" w:rsidRPr="00FD2C59" w:rsidRDefault="00FD2C59" w:rsidP="00FD2C59">
      <w:r w:rsidRPr="00FD2C59">
        <w:t xml:space="preserve">[14] S. </w:t>
      </w:r>
      <w:proofErr w:type="spellStart"/>
      <w:r w:rsidRPr="00FD2C59">
        <w:t>Sirisumrannukul</w:t>
      </w:r>
      <w:proofErr w:type="spellEnd"/>
      <w:r w:rsidRPr="00FD2C59">
        <w:t xml:space="preserve">, T. </w:t>
      </w:r>
      <w:proofErr w:type="spellStart"/>
      <w:r w:rsidRPr="00FD2C59">
        <w:t>Intaraumnauy</w:t>
      </w:r>
      <w:proofErr w:type="spellEnd"/>
      <w:r w:rsidRPr="00FD2C59">
        <w:t xml:space="preserve">, and N. </w:t>
      </w:r>
      <w:proofErr w:type="spellStart"/>
      <w:r w:rsidRPr="00FD2C59">
        <w:t>Piamvilai</w:t>
      </w:r>
      <w:proofErr w:type="spellEnd"/>
      <w:r w:rsidRPr="00FD2C59">
        <w:t xml:space="preserve">, “Optimal control of cooling management system for energy conservation in smart home with ANNs-PSO data analytics microservice platform,” </w:t>
      </w:r>
      <w:proofErr w:type="spellStart"/>
      <w:r w:rsidRPr="00FD2C59">
        <w:t>Heliyon</w:t>
      </w:r>
      <w:proofErr w:type="spellEnd"/>
      <w:r w:rsidRPr="00FD2C59">
        <w:t xml:space="preserve">, vol. 10, no. 6, Art. no. e26937, 2024, </w:t>
      </w:r>
      <w:proofErr w:type="spellStart"/>
      <w:r w:rsidRPr="00FD2C59">
        <w:t>doi</w:t>
      </w:r>
      <w:proofErr w:type="spellEnd"/>
      <w:r w:rsidRPr="00FD2C59">
        <w:t>: 10.1016/j.heliyon.2024.e26937.</w:t>
      </w:r>
    </w:p>
    <w:p w14:paraId="2F06F2F8" w14:textId="77777777" w:rsidR="00FD2C59" w:rsidRPr="00FD2C59" w:rsidRDefault="00FD2C59" w:rsidP="00FD2C59">
      <w:r w:rsidRPr="00FD2C59">
        <w:t xml:space="preserve">[15] M. S. Hossain and M. M. Hassan, “Smart Energy Meter with Real Time Monitoring System,” in 2024 13th International Conference on Electrical and Computer Engineering (ICECE), 2024, pp. 761–766, </w:t>
      </w:r>
      <w:proofErr w:type="spellStart"/>
      <w:r w:rsidRPr="00FD2C59">
        <w:t>doi</w:t>
      </w:r>
      <w:proofErr w:type="spellEnd"/>
      <w:r w:rsidRPr="00FD2C59">
        <w:t>: 10.1109/ICECE64886.2024.11024970.</w:t>
      </w:r>
    </w:p>
    <w:p w14:paraId="38A3DA87" w14:textId="77777777" w:rsidR="00FD2C59" w:rsidRPr="00FD2C59" w:rsidRDefault="00FD2C59" w:rsidP="00FD2C59">
      <w:r w:rsidRPr="00FD2C59">
        <w:t xml:space="preserve">[16] D. G. S, T. </w:t>
      </w:r>
      <w:proofErr w:type="spellStart"/>
      <w:r w:rsidRPr="00FD2C59">
        <w:t>Gangakhedkar</w:t>
      </w:r>
      <w:proofErr w:type="spellEnd"/>
      <w:r w:rsidRPr="00FD2C59">
        <w:t xml:space="preserve">, A. P, A. </w:t>
      </w:r>
      <w:proofErr w:type="spellStart"/>
      <w:r w:rsidRPr="00FD2C59">
        <w:t>Ashwija</w:t>
      </w:r>
      <w:proofErr w:type="spellEnd"/>
      <w:r w:rsidRPr="00FD2C59">
        <w:t xml:space="preserve"> and C. B. T. </w:t>
      </w:r>
      <w:proofErr w:type="spellStart"/>
      <w:r w:rsidRPr="00FD2C59">
        <w:t>Rambapuri</w:t>
      </w:r>
      <w:proofErr w:type="spellEnd"/>
      <w:r w:rsidRPr="00FD2C59">
        <w:t xml:space="preserve">, “IOT Enabled Electrical Consumption Tracking for Intelligent Energy Saving,” International Journal of Scientific Research in Engineering and Management, 2025. </w:t>
      </w:r>
      <w:proofErr w:type="spellStart"/>
      <w:r w:rsidRPr="00FD2C59">
        <w:t>doi</w:t>
      </w:r>
      <w:proofErr w:type="spellEnd"/>
      <w:r w:rsidRPr="00FD2C59">
        <w:t>: 10.55041/ijsrem54847.</w:t>
      </w:r>
    </w:p>
    <w:p w14:paraId="01033CFF" w14:textId="77777777" w:rsidR="00FD2C59" w:rsidRPr="00FD2C59" w:rsidRDefault="00FD2C59" w:rsidP="00FD2C59">
      <w:r w:rsidRPr="00FD2C59">
        <w:lastRenderedPageBreak/>
        <w:t xml:space="preserve">[17] Y. Zhu and M. Yue, “Design of an IoT-Based Smart City Energy Management System,” in 2025 4th International Conference on Green Energy and Power Systems (ICGEPS), 2025, pp. 489–492, </w:t>
      </w:r>
      <w:proofErr w:type="spellStart"/>
      <w:r w:rsidRPr="00FD2C59">
        <w:t>doi</w:t>
      </w:r>
      <w:proofErr w:type="spellEnd"/>
      <w:r w:rsidRPr="00FD2C59">
        <w:t>: 10.1109/ICGEPS65133.2025.11034388.</w:t>
      </w:r>
    </w:p>
    <w:p w14:paraId="7447AED7" w14:textId="77777777" w:rsidR="00FD2C59" w:rsidRDefault="00FD2C59" w:rsidP="00FD2C59">
      <w:r w:rsidRPr="00FD2C59">
        <w:t xml:space="preserve">[18] S. </w:t>
      </w:r>
      <w:proofErr w:type="spellStart"/>
      <w:r w:rsidRPr="00FD2C59">
        <w:t>Susikala</w:t>
      </w:r>
      <w:proofErr w:type="spellEnd"/>
      <w:r w:rsidRPr="00FD2C59">
        <w:t xml:space="preserve">, R. K, J. K, S. K, Y. M, “IoT Based Smart Electricity Monitoring System with Real Time Alerts &amp; Remote Control,” International Journal of Engineering &amp; Extended Technologies Research, 2026. </w:t>
      </w:r>
      <w:proofErr w:type="spellStart"/>
      <w:r w:rsidRPr="00FD2C59">
        <w:t>doi</w:t>
      </w:r>
      <w:proofErr w:type="spellEnd"/>
      <w:r w:rsidRPr="00FD2C59">
        <w:t>: 10.15662/ijeetr.2026.0802420 .</w:t>
      </w:r>
    </w:p>
    <w:p w14:paraId="28C88644" w14:textId="67A38671" w:rsidR="006210EC" w:rsidRDefault="006210EC" w:rsidP="006210EC">
      <w:r>
        <w:t xml:space="preserve">[19] A. S. Shuaibu, S. U. Haq, B. Almadani, F. Aliyu, and E. G. Al-Nahari, “Smart Metering Meets AI: Real-Time Appliance Monitoring and Anomaly Detection Over DDS Middleware,” IEEE Transactions on Industry Applications, vol. 62, no. 2, pp. 2326–2342, Mar. 2026, </w:t>
      </w:r>
      <w:proofErr w:type="spellStart"/>
      <w:r>
        <w:t>doi</w:t>
      </w:r>
      <w:proofErr w:type="spellEnd"/>
      <w:r>
        <w:t>: 10.1109/TIA.2025.3608687.</w:t>
      </w:r>
    </w:p>
    <w:p w14:paraId="61D455EF" w14:textId="2FD3B3C0" w:rsidR="006210EC" w:rsidRPr="00FD2C59" w:rsidRDefault="006210EC" w:rsidP="006210EC">
      <w:r>
        <w:t xml:space="preserve">[20] T. B. de Sousa and R. de A. L. Rabelo, “Smart Metering Enabled by the Internet of Things for Monitoring Residential Energy Consumption and Power Quality,” IEEE Access, vol. 13, pp. 186872–186886, 2025, </w:t>
      </w:r>
      <w:proofErr w:type="spellStart"/>
      <w:r>
        <w:t>doi</w:t>
      </w:r>
      <w:proofErr w:type="spellEnd"/>
      <w:r>
        <w:t>: 10.1109/ACCESS.2025.3627191.</w:t>
      </w:r>
    </w:p>
    <w:p w14:paraId="052993BA" w14:textId="77777777" w:rsidR="00FD2C59" w:rsidRDefault="00FD2C59"/>
    <w:sectPr w:rsidR="00FD2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205"/>
    <w:multiLevelType w:val="multilevel"/>
    <w:tmpl w:val="9064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558C3"/>
    <w:multiLevelType w:val="multilevel"/>
    <w:tmpl w:val="D3FC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94787A"/>
    <w:multiLevelType w:val="hybridMultilevel"/>
    <w:tmpl w:val="66A2C26C"/>
    <w:lvl w:ilvl="0" w:tplc="27C8AFB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A613EAF"/>
    <w:multiLevelType w:val="multilevel"/>
    <w:tmpl w:val="0F2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0B64A6"/>
    <w:multiLevelType w:val="hybridMultilevel"/>
    <w:tmpl w:val="22D22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2936E1"/>
    <w:multiLevelType w:val="multilevel"/>
    <w:tmpl w:val="2CB2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FE2303"/>
    <w:multiLevelType w:val="hybridMultilevel"/>
    <w:tmpl w:val="785CC4A8"/>
    <w:lvl w:ilvl="0" w:tplc="27C8AFB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0F45F7"/>
    <w:multiLevelType w:val="hybridMultilevel"/>
    <w:tmpl w:val="C03EA9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176770183">
    <w:abstractNumId w:val="1"/>
  </w:num>
  <w:num w:numId="2" w16cid:durableId="2056159144">
    <w:abstractNumId w:val="5"/>
  </w:num>
  <w:num w:numId="3" w16cid:durableId="624194573">
    <w:abstractNumId w:val="0"/>
  </w:num>
  <w:num w:numId="4" w16cid:durableId="1973903071">
    <w:abstractNumId w:val="4"/>
  </w:num>
  <w:num w:numId="5" w16cid:durableId="1924298253">
    <w:abstractNumId w:val="6"/>
  </w:num>
  <w:num w:numId="6" w16cid:durableId="1238517756">
    <w:abstractNumId w:val="2"/>
  </w:num>
  <w:num w:numId="7" w16cid:durableId="163278307">
    <w:abstractNumId w:val="7"/>
  </w:num>
  <w:num w:numId="8" w16cid:durableId="424886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59"/>
    <w:rsid w:val="00063E49"/>
    <w:rsid w:val="002200CE"/>
    <w:rsid w:val="00245F34"/>
    <w:rsid w:val="003578DC"/>
    <w:rsid w:val="003A7FBE"/>
    <w:rsid w:val="004246C9"/>
    <w:rsid w:val="00610123"/>
    <w:rsid w:val="006210EC"/>
    <w:rsid w:val="00702086"/>
    <w:rsid w:val="00894601"/>
    <w:rsid w:val="00951980"/>
    <w:rsid w:val="00970DF7"/>
    <w:rsid w:val="0099114F"/>
    <w:rsid w:val="00996165"/>
    <w:rsid w:val="00CC08A9"/>
    <w:rsid w:val="00D661A1"/>
    <w:rsid w:val="00DF6614"/>
    <w:rsid w:val="00FD2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A970B"/>
  <w15:chartTrackingRefBased/>
  <w15:docId w15:val="{F07C0847-0372-4B6A-9526-2A473792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C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C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C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C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C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C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C59"/>
    <w:rPr>
      <w:rFonts w:eastAsiaTheme="majorEastAsia" w:cstheme="majorBidi"/>
      <w:color w:val="272727" w:themeColor="text1" w:themeTint="D8"/>
    </w:rPr>
  </w:style>
  <w:style w:type="paragraph" w:styleId="Title">
    <w:name w:val="Title"/>
    <w:basedOn w:val="Normal"/>
    <w:next w:val="Normal"/>
    <w:link w:val="TitleChar"/>
    <w:uiPriority w:val="10"/>
    <w:qFormat/>
    <w:rsid w:val="00FD2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C59"/>
    <w:pPr>
      <w:spacing w:before="160"/>
      <w:jc w:val="center"/>
    </w:pPr>
    <w:rPr>
      <w:i/>
      <w:iCs/>
      <w:color w:val="404040" w:themeColor="text1" w:themeTint="BF"/>
    </w:rPr>
  </w:style>
  <w:style w:type="character" w:customStyle="1" w:styleId="QuoteChar">
    <w:name w:val="Quote Char"/>
    <w:basedOn w:val="DefaultParagraphFont"/>
    <w:link w:val="Quote"/>
    <w:uiPriority w:val="29"/>
    <w:rsid w:val="00FD2C59"/>
    <w:rPr>
      <w:i/>
      <w:iCs/>
      <w:color w:val="404040" w:themeColor="text1" w:themeTint="BF"/>
    </w:rPr>
  </w:style>
  <w:style w:type="paragraph" w:styleId="ListParagraph">
    <w:name w:val="List Paragraph"/>
    <w:basedOn w:val="Normal"/>
    <w:uiPriority w:val="34"/>
    <w:qFormat/>
    <w:rsid w:val="00FD2C59"/>
    <w:pPr>
      <w:ind w:left="720"/>
      <w:contextualSpacing/>
    </w:pPr>
  </w:style>
  <w:style w:type="character" w:styleId="IntenseEmphasis">
    <w:name w:val="Intense Emphasis"/>
    <w:basedOn w:val="DefaultParagraphFont"/>
    <w:uiPriority w:val="21"/>
    <w:qFormat/>
    <w:rsid w:val="00FD2C59"/>
    <w:rPr>
      <w:i/>
      <w:iCs/>
      <w:color w:val="2F5496" w:themeColor="accent1" w:themeShade="BF"/>
    </w:rPr>
  </w:style>
  <w:style w:type="paragraph" w:styleId="IntenseQuote">
    <w:name w:val="Intense Quote"/>
    <w:basedOn w:val="Normal"/>
    <w:next w:val="Normal"/>
    <w:link w:val="IntenseQuoteChar"/>
    <w:uiPriority w:val="30"/>
    <w:qFormat/>
    <w:rsid w:val="00FD2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C59"/>
    <w:rPr>
      <w:i/>
      <w:iCs/>
      <w:color w:val="2F5496" w:themeColor="accent1" w:themeShade="BF"/>
    </w:rPr>
  </w:style>
  <w:style w:type="character" w:styleId="IntenseReference">
    <w:name w:val="Intense Reference"/>
    <w:basedOn w:val="DefaultParagraphFont"/>
    <w:uiPriority w:val="32"/>
    <w:qFormat/>
    <w:rsid w:val="00FD2C59"/>
    <w:rPr>
      <w:b/>
      <w:bCs/>
      <w:smallCaps/>
      <w:color w:val="2F5496" w:themeColor="accent1" w:themeShade="BF"/>
      <w:spacing w:val="5"/>
    </w:rPr>
  </w:style>
  <w:style w:type="character" w:styleId="PlaceholderText">
    <w:name w:val="Placeholder Text"/>
    <w:basedOn w:val="DefaultParagraphFont"/>
    <w:uiPriority w:val="99"/>
    <w:semiHidden/>
    <w:rsid w:val="009961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18</Pages>
  <Words>6481</Words>
  <Characters>36944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SHRIVASTAVA</dc:creator>
  <cp:keywords/>
  <dc:description/>
  <cp:lastModifiedBy>ROHIT SHRIVASTAVA</cp:lastModifiedBy>
  <cp:revision>3</cp:revision>
  <cp:lastPrinted>2026-10-18T16:23:00Z</cp:lastPrinted>
  <dcterms:created xsi:type="dcterms:W3CDTF">2026-10-18T15:57:00Z</dcterms:created>
  <dcterms:modified xsi:type="dcterms:W3CDTF">2026-10-18T16:45:00Z</dcterms:modified>
</cp:coreProperties>
</file>