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eastAsia="Times New Roman"/>
          <w:b/>
          <w:color w:val="17365D"/>
          <w:sz w:val="30"/>
        </w:rPr>
        <w:t>An Event-Driven Microservices Home Energy Tracker with Gateway Authentication and ML-Based Anomaly Detection</w:t>
      </w:r>
    </w:p>
    <w:p>
      <w:pPr>
        <w:spacing w:after="40"/>
        <w:jc w:val="center"/>
      </w:pPr>
      <w:r>
        <w:rPr>
          <w:rFonts w:ascii="Times New Roman" w:hAnsi="Times New Roman" w:eastAsia="Times New Roman"/>
          <w:b/>
          <w:sz w:val="21"/>
        </w:rPr>
        <w:t>Rohit Shrivastava, Anshika Rai, Harsh Gupta, and Syamasudha Veeragandham</w:t>
      </w:r>
    </w:p>
    <w:p>
      <w:pPr>
        <w:spacing w:after="40"/>
        <w:jc w:val="center"/>
      </w:pPr>
      <w:r>
        <w:rPr>
          <w:rFonts w:ascii="Times New Roman" w:hAnsi="Times New Roman" w:eastAsia="Times New Roman"/>
          <w:i/>
          <w:sz w:val="19"/>
        </w:rPr>
        <w:t>School of Computer Science and Engineering, Vellore Institute of Technology, Vellore, Tamil Nadu, India</w:t>
      </w:r>
    </w:p>
    <w:p>
      <w:pPr>
        <w:spacing w:after="200"/>
        <w:jc w:val="center"/>
      </w:pPr>
      <w:r>
        <w:rPr>
          <w:rFonts w:ascii="Times New Roman" w:hAnsi="Times New Roman" w:eastAsia="Times New Roman"/>
          <w:color w:val="4E6173"/>
          <w:sz w:val="17"/>
        </w:rPr>
        <w:t>rohit.lalbahadur2023@vitstudent.ac.in; anshika.rai2023@vitstudent.ac.in; harsh.gupta2023@vitstudent.ac.in; syamasudha.v@vit.ac.in</w:t>
      </w:r>
    </w:p>
    <w:p>
      <w:pPr>
        <w:spacing w:after="100"/>
        <w:ind w:left="283" w:right="283"/>
      </w:pPr>
      <w:r>
        <w:rPr>
          <w:rFonts w:ascii="Times New Roman" w:hAnsi="Times New Roman" w:eastAsia="Times New Roman"/>
          <w:b/>
          <w:sz w:val="19"/>
        </w:rPr>
        <w:t>Abstract—</w:t>
      </w:r>
      <w:r>
        <w:rPr>
          <w:rFonts w:ascii="Times New Roman" w:hAnsi="Times New Roman" w:eastAsia="Times New Roman"/>
          <w:sz w:val="19"/>
        </w:rPr>
        <w:t>Residential energy applications require a verifiable path from telemetry ingestion to historical storage, user-facing analysis, and notification, while preserving access control at the system boundary. This paper presents an event-driven microservices Home Energy Tracker evaluated in a local Docker Compose environment. The implementation routes Wokwi-compatible ESP32 telemetry through an API gateway with Keycloak JWT validation, resource-ownership enforcement, and a machine-token path. Ingestion events are distributed through Apache Kafka to time-series usage storage, deterministic insight functions, an alert service with a 15-minute deduplication policy, and a persisted Random Forest anomaly-inference service. The offline model was evaluated on a 5,000-record CSV using a chronological 70/15/15 split; on the held-out interval it obtained precision 0.88095, recall 0.92500, F1-score 0.90244, ROC-AUC 0.99743, and PR-AUC 0.94853. Local validation recorded expected outcomes for 8/8 security cases, 450/450 accepted k6 ingestion requests with 109.77 ms p95 response time, and a controlled end-to-end synthetic run in which analytics became available in 3.79 s and a threshold alert was captured by Mailpit in 13.64 s. These observations establish local integration and evaluation evidence, not physical-meter accuracy, external ML generalization, production capacity, or comprehensive fault tolerance.</w:t>
      </w:r>
    </w:p>
    <w:p>
      <w:pPr>
        <w:spacing w:after="200"/>
        <w:ind w:left="283" w:right="283"/>
      </w:pPr>
      <w:r>
        <w:rPr>
          <w:rFonts w:ascii="Times New Roman" w:hAnsi="Times New Roman" w:eastAsia="Times New Roman"/>
          <w:b/>
          <w:sz w:val="19"/>
        </w:rPr>
        <w:t>Index Terms—</w:t>
      </w:r>
      <w:r>
        <w:rPr>
          <w:rFonts w:ascii="Times New Roman" w:hAnsi="Times New Roman" w:eastAsia="Times New Roman"/>
          <w:i/>
          <w:sz w:val="19"/>
        </w:rPr>
        <w:t>home energy monitoring, microservices, Apache Kafka, anomaly detection, Keycloak, JWT, Wokwi, Prometheus.</w:t>
      </w:r>
    </w:p>
    <w:p>
      <w:pPr>
        <w:pStyle w:val="Heading1"/>
        <w:jc w:val="left"/>
        <w:keepNext/>
      </w:pPr>
      <w:r>
        <w:rPr>
          <w:rFonts w:ascii="Times New Roman" w:hAnsi="Times New Roman" w:eastAsia="Times New Roman"/>
          <w:b/>
          <w:color w:val="17365D"/>
          <w:sz w:val="24"/>
        </w:rPr>
        <w:t>I. INTRODUCTION</w:t>
      </w:r>
    </w:p>
    <w:p>
      <w:pPr>
        <w:keepLines/>
      </w:pPr>
      <w:r>
        <w:rPr>
          <w:rFonts w:ascii="Times New Roman" w:hAnsi="Times New Roman" w:eastAsia="Times New Roman"/>
          <w:i w:val="0"/>
        </w:rPr>
        <w:t>Residential energy bills provide limited visibility into the timing, distribution, and abnormality of household electricity consumption. Existing IoT studies demonstrate low-cost sensing and visualisation, while other work considers anomaly detection, appliance-level analysis, and distributed energy-management architectures [1]–[24]. A useful engineering contribution in this space is therefore not a generic claim of intelligence or scalability, but a traceable and testable integration of telemetry, storage, analysis, alerting, and access control.</w:t>
      </w:r>
    </w:p>
    <w:p>
      <w:pPr>
        <w:keepLines/>
      </w:pPr>
      <w:r>
        <w:rPr>
          <w:rFonts w:ascii="Times New Roman" w:hAnsi="Times New Roman" w:eastAsia="Times New Roman"/>
          <w:i w:val="0"/>
        </w:rPr>
        <w:t>The present work revises an earlier functional prototype into an evidence-bounded final implementation. It combines a Wokwi ESP32 simulator, Spring Boot services, FastAPI-based ML inference, Apache Kafka, InfluxDB, MySQL, Keycloak, Prometheus, Grafana, a React dashboard, and Mailpit. The system is deliberately evaluated under local Docker Compose conditions. The simulator and controlled REST submissions use the same ingestion contract, but neither substitutes for calibrated electricity-meter validation.</w:t>
      </w:r>
    </w:p>
    <w:p>
      <w:pPr>
        <w:pStyle w:val="Heading2"/>
        <w:jc w:val="left"/>
        <w:keepNext/>
      </w:pPr>
      <w:r>
        <w:rPr>
          <w:rFonts w:ascii="Times New Roman" w:hAnsi="Times New Roman" w:eastAsia="Times New Roman"/>
          <w:b/>
          <w:color w:val="17365D"/>
          <w:sz w:val="21"/>
        </w:rPr>
        <w:t>A. Objectives and Contributions</w:t>
      </w:r>
    </w:p>
    <w:p>
      <w:pPr>
        <w:keepLines/>
      </w:pPr>
      <w:r>
        <w:rPr>
          <w:rFonts w:ascii="Times New Roman" w:hAnsi="Times New Roman" w:eastAsia="Times New Roman"/>
          <w:i w:val="0"/>
        </w:rPr>
        <w:t>The final objectives were to: (i) implement an event-driven telemetry-to-storage path; (ii) enforce gateway-level authentication, authorization, ownership, and device-token controls; (iii) provide deterministic forecasting, ranking, standby estimation, and deduplicated alerts; (iv) train, evaluate, persist, and integrate a supervised anomaly classifier; and (v) collect bounded local evidence from security, functional, performance, observability, and controlled fault scenarios.</w:t>
      </w:r>
    </w:p>
    <w:p>
      <w:pPr>
        <w:pStyle w:val="ListBullet"/>
        <w:ind w:left="255" w:hanging="142"/>
      </w:pPr>
      <w:r>
        <w:rPr>
          <w:rFonts w:ascii="Times New Roman" w:hAnsi="Times New Roman" w:eastAsia="Times New Roman"/>
          <w:sz w:val="19"/>
        </w:rPr>
        <w:t>An implemented 17-service local architecture that separates identity, telemetry ingestion, event processing, time-series usage, metadata, deterministic insights, ML inference, alerting, and monitoring.</w:t>
      </w:r>
    </w:p>
    <w:p>
      <w:pPr>
        <w:pStyle w:val="ListBullet"/>
        <w:ind w:left="255" w:hanging="142"/>
      </w:pPr>
      <w:r>
        <w:rPr>
          <w:rFonts w:ascii="Times New Roman" w:hAnsi="Times New Roman" w:eastAsia="Times New Roman"/>
          <w:sz w:val="19"/>
        </w:rPr>
        <w:t>An offline chronological evaluation of a persisted Random Forest model against a Logistic Regression comparator, reported separately from simulator and runtime integration evidence.</w:t>
      </w:r>
    </w:p>
    <w:p>
      <w:pPr>
        <w:pStyle w:val="ListBullet"/>
        <w:ind w:left="255" w:hanging="142"/>
      </w:pPr>
      <w:r>
        <w:rPr>
          <w:rFonts w:ascii="Times New Roman" w:hAnsi="Times New Roman" w:eastAsia="Times New Roman"/>
          <w:sz w:val="19"/>
        </w:rPr>
        <w:t>A reproducible local validation record covering gateway security cases, dashboard-route regression checks, alert deduplication, Prometheus targets, a k6 ingestion scenario, two controlled service-stop scenarios, and an end-to-end synthetic workflow.</w:t>
      </w:r>
    </w:p>
    <w:p>
      <w:pPr>
        <w:pStyle w:val="Heading1"/>
        <w:jc w:val="left"/>
        <w:keepNext/>
      </w:pPr>
      <w:r>
        <w:rPr>
          <w:rFonts w:ascii="Times New Roman" w:hAnsi="Times New Roman" w:eastAsia="Times New Roman"/>
          <w:b/>
          <w:color w:val="17365D"/>
          <w:sz w:val="24"/>
        </w:rPr>
        <w:t>II. RELATED WORK AND RESEARCH GAP</w:t>
      </w:r>
    </w:p>
    <w:p>
      <w:pPr>
        <w:pStyle w:val="Heading2"/>
        <w:jc w:val="left"/>
        <w:keepNext/>
      </w:pPr>
      <w:r>
        <w:rPr>
          <w:rFonts w:ascii="Times New Roman" w:hAnsi="Times New Roman" w:eastAsia="Times New Roman"/>
          <w:b/>
          <w:color w:val="17365D"/>
          <w:sz w:val="21"/>
        </w:rPr>
        <w:t>A. Existing Approaches</w:t>
      </w:r>
    </w:p>
    <w:p>
      <w:pPr>
        <w:keepLines/>
      </w:pPr>
      <w:r>
        <w:rPr>
          <w:rFonts w:ascii="Times New Roman" w:hAnsi="Times New Roman" w:eastAsia="Times New Roman"/>
          <w:i w:val="0"/>
        </w:rPr>
        <w:t>Low-cost monitoring systems based on ESP32-class controllers, smart meters, and IoT dashboards motivate the telemetry interface used in this study [3]–[6], [13], [16], [18]–[21], [23]. Research on anomaly detection and appliance-aware analysis illustrates the value of labelled time series and careful evaluation [1], [7]–[11], [15], [22]. Microservice and cloud-oriented approaches further motivate service separation and event-mediated processing [2], [12], [14], [17], [24]. These directions are complementary: sensing work does not by itself validate software architecture, and architectural work does not automatically establish valid energy-model performance.</w:t>
      </w:r>
    </w:p>
    <w:p>
      <w:pPr>
        <w:pStyle w:val="Heading2"/>
        <w:jc w:val="left"/>
        <w:keepNext/>
      </w:pPr>
      <w:r>
        <w:rPr>
          <w:rFonts w:ascii="Times New Roman" w:hAnsi="Times New Roman" w:eastAsia="Times New Roman"/>
          <w:b/>
          <w:color w:val="17365D"/>
          <w:sz w:val="21"/>
        </w:rPr>
        <w:t>B. Revised Research Gap</w:t>
      </w:r>
    </w:p>
    <w:p>
      <w:pPr>
        <w:keepLines/>
      </w:pPr>
      <w:r>
        <w:rPr>
          <w:rFonts w:ascii="Times New Roman" w:hAnsi="Times New Roman" w:eastAsia="Times New Roman"/>
          <w:i w:val="0"/>
        </w:rPr>
        <w:t>The original gap concerned the absence of a concise, inspectable linkage between household telemetry, event-driven services, time-series history, transparent energy insights, and notification. The completed system now addresses this integration gap more broadly by adding an evaluated supervised classifier, gateway-based identity controls, deduplicated alerting, and local operational evidence. It only partially addresses the surrounding research gaps: the source and label-generation process of the training data are undocumented; Wokwi inputs are synthetic; evaluation is single-host and short-duration; and physical-meter, multi-household, utility-bill, and production-scale validation remain unresolved.</w:t>
      </w:r>
    </w:p>
    <w:p>
      <w:pPr>
        <w:pStyle w:val="Heading1"/>
        <w:jc w:val="left"/>
        <w:keepNext/>
      </w:pPr>
      <w:r>
        <w:rPr>
          <w:rFonts w:ascii="Times New Roman" w:hAnsi="Times New Roman" w:eastAsia="Times New Roman"/>
          <w:b/>
          <w:color w:val="17365D"/>
          <w:sz w:val="24"/>
        </w:rPr>
        <w:t>III. FINAL SYSTEM ARCHITECTURE AND METHODOLOGY</w:t>
      </w:r>
    </w:p>
    <w:p>
      <w:pPr>
        <w:jc w:val="center"/>
      </w:pPr>
      <w:r>
        <w:drawing>
          <wp:inline xmlns:a="http://schemas.openxmlformats.org/drawingml/2006/main" xmlns:pic="http://schemas.openxmlformats.org/drawingml/2006/picture">
            <wp:extent cx="6400800" cy="4131425"/>
            <wp:docPr id="1" name="Picture 1"/>
            <wp:cNvGraphicFramePr>
              <a:graphicFrameLocks noChangeAspect="1"/>
            </wp:cNvGraphicFramePr>
            <a:graphic>
              <a:graphicData uri="http://schemas.openxmlformats.org/drawingml/2006/picture">
                <pic:pic>
                  <pic:nvPicPr>
                    <pic:cNvPr id="0" name="final_system_architecture.png"/>
                    <pic:cNvPicPr/>
                  </pic:nvPicPr>
                  <pic:blipFill>
                    <a:blip r:embed="rId11"/>
                    <a:stretch>
                      <a:fillRect/>
                    </a:stretch>
                  </pic:blipFill>
                  <pic:spPr>
                    <a:xfrm>
                      <a:off x="0" y="0"/>
                      <a:ext cx="6400800" cy="4131425"/>
                    </a:xfrm>
                    <a:prstGeom prst="rect"/>
                  </pic:spPr>
                </pic:pic>
              </a:graphicData>
            </a:graphic>
          </wp:inline>
        </w:drawing>
      </w:r>
    </w:p>
    <w:p>
      <w:pPr>
        <w:spacing w:before="40" w:after="120"/>
        <w:jc w:val="center"/>
      </w:pPr>
      <w:r>
        <w:rPr>
          <w:rFonts w:ascii="Times New Roman" w:hAnsi="Times New Roman" w:eastAsia="Times New Roman"/>
          <w:i/>
          <w:sz w:val="17"/>
        </w:rPr>
        <w:t>Fig. 1. Final architecture of the locally evaluated Home Energy Tracker. Solid arrows denote implemented request or event flow; Prometheus/Grafana represent monitoring rather than a data-processing dependency.</w:t>
      </w:r>
    </w:p>
    <w:p>
      <w:pPr>
        <w:pStyle w:val="Heading2"/>
        <w:jc w:val="left"/>
        <w:keepNext/>
      </w:pPr>
      <w:r>
        <w:rPr>
          <w:rFonts w:ascii="Times New Roman" w:hAnsi="Times New Roman" w:eastAsia="Times New Roman"/>
          <w:b/>
          <w:color w:val="17365D"/>
          <w:sz w:val="21"/>
        </w:rPr>
        <w:t>A. Telemetry, Gateway, and Event Processing</w:t>
      </w:r>
    </w:p>
    <w:p>
      <w:pPr>
        <w:keepLines/>
      </w:pPr>
      <w:r>
        <w:rPr>
          <w:rFonts w:ascii="Times New Roman" w:hAnsi="Times New Roman" w:eastAsia="Times New Roman"/>
          <w:i w:val="0"/>
        </w:rPr>
        <w:t>The Wokwi ESP32 simulator constructs a JSON payload containing deviceId, energyConsumed, and timestamp and posts it to the simulator-compatible ingestion endpoint. Gateway access is separated by caller type. User-facing API routes require Keycloak-issued JWTs and are subject to role mapping and path-based resource-ownership checks. The telemetry endpoint accepts either an authenticated JWT or a configured X-Device-Token. The gateway does not establish production-grade security; it provides the evaluated local boundary controls described in Section V-C.</w:t>
      </w:r>
    </w:p>
    <w:p>
      <w:pPr>
        <w:keepLines/>
      </w:pPr>
      <w:r>
        <w:rPr>
          <w:rFonts w:ascii="Times New Roman" w:hAnsi="Times New Roman" w:eastAsia="Times New Roman"/>
          <w:i w:val="0"/>
        </w:rPr>
        <w:t>The Ingestion Service validates the telemetry contract and emits an energy-usage event to Kafka. The Usage Service consumes this event, writes timestamped usage data to InfluxDB, and evaluates threshold-based conditions. The User and Device services, along with persisted alert records, use MySQL. This separation permits the ingestion request to be acknowledged without waiting for downstream analytics or local mail capture.</w:t>
      </w:r>
    </w:p>
    <w:p>
      <w:pPr>
        <w:pStyle w:val="Heading2"/>
        <w:jc w:val="left"/>
        <w:keepNext/>
      </w:pPr>
      <w:r>
        <w:rPr>
          <w:rFonts w:ascii="Times New Roman" w:hAnsi="Times New Roman" w:eastAsia="Times New Roman"/>
          <w:b/>
          <w:color w:val="17365D"/>
          <w:sz w:val="21"/>
        </w:rPr>
        <w:t>B. Deterministic Energy Insights</w:t>
      </w:r>
    </w:p>
    <w:p>
      <w:pPr>
        <w:keepLines/>
      </w:pPr>
      <w:r>
        <w:rPr>
          <w:rFonts w:ascii="Times New Roman" w:hAnsi="Times New Roman" w:eastAsia="Times New Roman"/>
          <w:i w:val="0"/>
        </w:rPr>
        <w:t>The Insight Service is intentionally deterministic and is not represented as machine learning. For a selected D-day window with aggregate energy E, the implementation derives a daily rate E/D and a 30-day projection 30E/D. It applies a demonstration tariff (a fixed monthly charge and three energy slabs) to calculate indicative cost. Devices are ranked by their share of total energy. The standby routine estimates baseline demand using a configured 20% average-load heuristic and categorizes the estimated level. These outputs are traceable application transformations, not a validated forecast against a utility bill or an appliance-level standby measurement.</w:t>
      </w:r>
    </w:p>
    <w:p>
      <w:pPr>
        <w:pStyle w:val="Heading2"/>
        <w:jc w:val="left"/>
        <w:keepNext/>
      </w:pPr>
      <w:r>
        <w:rPr>
          <w:rFonts w:ascii="Times New Roman" w:hAnsi="Times New Roman" w:eastAsia="Times New Roman"/>
          <w:b/>
          <w:color w:val="17365D"/>
          <w:sz w:val="21"/>
        </w:rPr>
        <w:t>C. Supervised ML Pipeline</w:t>
      </w:r>
    </w:p>
    <w:p>
      <w:pPr>
        <w:keepLines/>
      </w:pPr>
      <w:r>
        <w:rPr>
          <w:rFonts w:ascii="Times New Roman" w:hAnsi="Times New Roman" w:eastAsia="Times New Roman"/>
          <w:i w:val="0"/>
        </w:rPr>
        <w:t>Offline anomaly-model development used smart_meter_data.csv. The retained CSV has 5,000 rows sampled at 30-minute intervals from 1 January 2024 to 14 April 2024, with five numeric consumption/context fields, a timestamp, and Anomaly_Label. The preprocessing implementation removes invalid timestamps, invalid numeric values, negative energy values, and complete duplicates; no such rows were removed in the retained data. It then chronologically sorts the records, encodes Normal as 0 and Abnormal as 1, and derives Hour, DayOfWeek, and ConsumptionDeviation = Electricity_Consumed − Avg_Past_Consumption. The model uses eight features: the five raw numeric fields plus the three engineered features.</w:t>
      </w:r>
    </w:p>
    <w:p>
      <w:pPr>
        <w:keepLines/>
      </w:pPr>
      <w:r>
        <w:rPr>
          <w:rFonts w:ascii="Times New Roman" w:hAnsi="Times New Roman" w:eastAsia="Times New Roman"/>
          <w:i w:val="0"/>
        </w:rPr>
        <w:t>A 70%/15%/15% chronological train/validation/test split was used. The decision threshold was selected by validation F1 across candidate thresholds. Logistic Regression with standardization served as a baseline. The selected Random Forest uses 300 trees, min_samples_leaf = 2, class_weight = balanced_subsample, and random_state = 42. The saved artifact is loaded by the inference service; runtime payloads that omit environmental/context fields receive stored median imputations. Since the source of Avg_Past_Consumption and label construction is not documented, the workflow should not be described as completely leakage-free or externally representative.</w:t>
      </w:r>
    </w:p>
    <w:p>
      <w:pPr>
        <w:keepLines/>
      </w:pPr>
      <w:r>
        <w:rPr>
          <w:rFonts w:ascii="Times New Roman" w:hAnsi="Times New Roman" w:eastAsia="Times New Roman"/>
          <w:i w:val="0"/>
        </w:rPr>
        <w:t>At runtime, the ML service consumes energy-usage events, generates an anomaly probability with the persisted model, and publishes anomaly-results for the Alert Service. A bounded retry/failure-topic path is implemented, but no dedicated retry or failure-topic experiment was retained; it is therefore described here as an implementation feature rather than an evaluated resilience result.</w:t>
      </w:r>
    </w:p>
    <w:p>
      <w:pPr>
        <w:pStyle w:val="Heading2"/>
        <w:jc w:val="left"/>
        <w:keepNext/>
      </w:pPr>
      <w:r>
        <w:rPr>
          <w:rFonts w:ascii="Times New Roman" w:hAnsi="Times New Roman" w:eastAsia="Times New Roman"/>
          <w:b/>
          <w:color w:val="17365D"/>
          <w:sz w:val="21"/>
        </w:rPr>
        <w:t>D. Alerting, Deduplication, and Monitoring</w:t>
      </w:r>
    </w:p>
    <w:p>
      <w:pPr>
        <w:keepLines/>
      </w:pPr>
      <w:r>
        <w:rPr>
          <w:rFonts w:ascii="Times New Roman" w:hAnsi="Times New Roman" w:eastAsia="Times New Roman"/>
          <w:i w:val="0"/>
        </w:rPr>
        <w:t>The Alert Service consumes both threshold energy-alerts and ML anomaly-results. Before persistence and notification, it forms a deduplication key userId:deviceId-or-HOUSEHOLD:alertType and checks whether a matching alert exists within the configured 15-minute window. This mechanism was exercised in a controlled duplicate-event case; it is not evidence of a general duplicate-reduction rate. Mailpit acts as a local SMTP capture environment, so an observed message demonstrates local sink capture rather than external email delivery.</w:t>
      </w:r>
    </w:p>
    <w:p>
      <w:pPr>
        <w:keepLines/>
      </w:pPr>
      <w:r>
        <w:rPr>
          <w:rFonts w:ascii="Times New Roman" w:hAnsi="Times New Roman" w:eastAsia="Times New Roman"/>
          <w:i w:val="0"/>
        </w:rPr>
        <w:t>Observability is provided by Spring Actuator and ML metrics exposed to Prometheus, with Grafana available for local dashboards. The final recorded snapshot contained eight active Prometheus targets, all reported as up. The implementation exposes counters for alert creation and suppression; their recorded values are cumulative local-process counters and must not be interpreted as per-experiment rates. Distributed tracing, Kafka-lag analysis, and measured ML-inference latency were not retained as evidence.</w:t>
      </w:r>
    </w:p>
    <w:p>
      <w:pPr>
        <w:pStyle w:val="Heading2"/>
        <w:jc w:val="left"/>
        <w:keepNext/>
      </w:pPr>
      <w:r>
        <w:rPr>
          <w:rFonts w:ascii="Times New Roman" w:hAnsi="Times New Roman" w:eastAsia="Times New Roman"/>
          <w:b/>
          <w:color w:val="17365D"/>
          <w:sz w:val="21"/>
        </w:rPr>
        <w:t>E. Operational Workflow</w:t>
      </w:r>
    </w:p>
    <w:p>
      <w:pPr>
        <w:jc w:val="center"/>
      </w:pPr>
      <w:r>
        <w:drawing>
          <wp:inline xmlns:a="http://schemas.openxmlformats.org/drawingml/2006/main" xmlns:pic="http://schemas.openxmlformats.org/drawingml/2006/picture">
            <wp:extent cx="6400800" cy="3258589"/>
            <wp:docPr id="2" name="Picture 2"/>
            <wp:cNvGraphicFramePr>
              <a:graphicFrameLocks noChangeAspect="1"/>
            </wp:cNvGraphicFramePr>
            <a:graphic>
              <a:graphicData uri="http://schemas.openxmlformats.org/drawingml/2006/picture">
                <pic:pic>
                  <pic:nvPicPr>
                    <pic:cNvPr id="0" name="evidence_oriented_workflow.png"/>
                    <pic:cNvPicPr/>
                  </pic:nvPicPr>
                  <pic:blipFill>
                    <a:blip r:embed="rId12"/>
                    <a:stretch>
                      <a:fillRect/>
                    </a:stretch>
                  </pic:blipFill>
                  <pic:spPr>
                    <a:xfrm>
                      <a:off x="0" y="0"/>
                      <a:ext cx="6400800" cy="3258589"/>
                    </a:xfrm>
                    <a:prstGeom prst="rect"/>
                  </pic:spPr>
                </pic:pic>
              </a:graphicData>
            </a:graphic>
          </wp:inline>
        </w:drawing>
      </w:r>
    </w:p>
    <w:p>
      <w:pPr>
        <w:spacing w:before="40" w:after="120"/>
        <w:jc w:val="center"/>
      </w:pPr>
      <w:r>
        <w:rPr>
          <w:rFonts w:ascii="Times New Roman" w:hAnsi="Times New Roman" w:eastAsia="Times New Roman"/>
          <w:i/>
          <w:sz w:val="17"/>
        </w:rPr>
        <w:t>Fig. 2. Evidence-oriented workflow. Offline model evaluation, local functional tests, and runtime demonstrations are reported as distinct forms of evidence.</w:t>
      </w:r>
    </w:p>
    <w:p>
      <w:pPr>
        <w:keepLines/>
      </w:pPr>
      <w:r>
        <w:rPr>
          <w:rFonts w:ascii="Times New Roman" w:hAnsi="Times New Roman" w:eastAsia="Times New Roman"/>
          <w:i w:val="0"/>
        </w:rPr>
        <w:t>The workflow in Fig. 2 distinguishes processing from evaluation. The left-to-right path represents the implemented system; the lower band records how different parts were assessed. This distinction prevents a functional Kafka or Wokwi demonstration from being misreported as an ML accuracy study, a performance benchmark, or physical-meter validation.</w:t>
      </w:r>
    </w:p>
    <w:p>
      <w:pPr>
        <w:pStyle w:val="Heading2"/>
        <w:jc w:val="left"/>
        <w:keepNext/>
      </w:pPr>
      <w:r>
        <w:rPr>
          <w:rFonts w:ascii="Times New Roman" w:hAnsi="Times New Roman" w:eastAsia="Times New Roman"/>
          <w:b/>
          <w:color w:val="17365D"/>
          <w:sz w:val="21"/>
        </w:rPr>
        <w:t>Algorithm 1. Secure telemetry-to-alert event processing</w:t>
      </w:r>
    </w:p>
    <w:p>
      <w:pPr>
        <w:spacing w:after="20"/>
        <w:ind w:left="312" w:right="142"/>
      </w:pPr>
      <w:r>
        <w:rPr>
          <w:rFonts w:ascii="Courier New" w:hAnsi="Courier New" w:eastAsia="Courier New"/>
          <w:sz w:val="18"/>
        </w:rPr>
        <w:t>Input: telemetry t = {deviceId, energyConsumed, timestamp}; caller credential c.</w:t>
      </w:r>
    </w:p>
    <w:p>
      <w:pPr>
        <w:spacing w:after="20"/>
        <w:ind w:left="312" w:right="142"/>
      </w:pPr>
      <w:r>
        <w:rPr>
          <w:rFonts w:ascii="Courier New" w:hAnsi="Courier New" w:eastAsia="Courier New"/>
          <w:sz w:val="18"/>
        </w:rPr>
        <w:t>Output: accepted event status; downstream usage, insight, and alert artifacts when their asynchronous consumers complete.</w:t>
      </w:r>
    </w:p>
    <w:p>
      <w:pPr>
        <w:spacing w:after="20"/>
        <w:ind w:left="312" w:right="142"/>
      </w:pPr>
      <w:r>
        <w:rPr>
          <w:rFonts w:ascii="Courier New" w:hAnsi="Courier New" w:eastAsia="Courier New"/>
          <w:sz w:val="18"/>
        </w:rPr>
        <w:t>1: If t is invalid or energyConsumed &lt; 0, reject the request.</w:t>
      </w:r>
    </w:p>
    <w:p>
      <w:pPr>
        <w:spacing w:after="20"/>
        <w:ind w:left="312" w:right="142"/>
      </w:pPr>
      <w:r>
        <w:rPr>
          <w:rFonts w:ascii="Courier New" w:hAnsi="Courier New" w:eastAsia="Courier New"/>
          <w:sz w:val="18"/>
        </w:rPr>
        <w:t>2: If c is neither a valid JWT nor the configured device token, return unauthorized.</w:t>
      </w:r>
    </w:p>
    <w:p>
      <w:pPr>
        <w:spacing w:after="20"/>
        <w:ind w:left="312" w:right="142"/>
      </w:pPr>
      <w:r>
        <w:rPr>
          <w:rFonts w:ascii="Courier New" w:hAnsi="Courier New" w:eastAsia="Courier New"/>
          <w:sz w:val="18"/>
        </w:rPr>
        <w:t>3: Route the accepted request through the API Gateway to the Ingestion Service.</w:t>
      </w:r>
    </w:p>
    <w:p>
      <w:pPr>
        <w:spacing w:after="20"/>
        <w:ind w:left="312" w:right="142"/>
      </w:pPr>
      <w:r>
        <w:rPr>
          <w:rFonts w:ascii="Courier New" w:hAnsi="Courier New" w:eastAsia="Courier New"/>
          <w:sz w:val="18"/>
        </w:rPr>
        <w:t>4: Publish t to Kafka topic energy-usage and return the ingestion acceptance status.</w:t>
      </w:r>
    </w:p>
    <w:p>
      <w:pPr>
        <w:spacing w:after="20"/>
        <w:ind w:left="312" w:right="142"/>
      </w:pPr>
      <w:r>
        <w:rPr>
          <w:rFonts w:ascii="Courier New" w:hAnsi="Courier New" w:eastAsia="Courier New"/>
          <w:sz w:val="18"/>
        </w:rPr>
        <w:t>5: Usage consumer writes a time-series record and may publish a threshold event.</w:t>
      </w:r>
    </w:p>
    <w:p>
      <w:pPr>
        <w:spacing w:after="20"/>
        <w:ind w:left="312" w:right="142"/>
      </w:pPr>
      <w:r>
        <w:rPr>
          <w:rFonts w:ascii="Courier New" w:hAnsi="Courier New" w:eastAsia="Courier New"/>
          <w:sz w:val="18"/>
        </w:rPr>
        <w:t>6: ML consumer builds the available feature vector, imputes missing optional context with stored medians, and publishes an anomaly-result event.</w:t>
      </w:r>
    </w:p>
    <w:p>
      <w:pPr>
        <w:spacing w:after="20"/>
        <w:ind w:left="312" w:right="142"/>
      </w:pPr>
      <w:r>
        <w:rPr>
          <w:rFonts w:ascii="Courier New" w:hAnsi="Courier New" w:eastAsia="Courier New"/>
          <w:sz w:val="18"/>
        </w:rPr>
        <w:t>7: Alert consumer forms key userId:deviceId-or-HOUSEHOLD:alertType. If a matching alert lies inside the 15-minute window, suppress it; otherwise persist it and attempt local notification delivery.</w:t>
      </w:r>
    </w:p>
    <w:p>
      <w:pPr>
        <w:pStyle w:val="Heading1"/>
        <w:jc w:val="left"/>
        <w:keepNext/>
      </w:pPr>
      <w:r>
        <w:rPr>
          <w:rFonts w:ascii="Times New Roman" w:hAnsi="Times New Roman" w:eastAsia="Times New Roman"/>
          <w:b/>
          <w:color w:val="17365D"/>
          <w:sz w:val="24"/>
        </w:rPr>
        <w:t>IV. IMPLEMENTATION AND EXPERIMENTAL SETUP</w:t>
      </w:r>
    </w:p>
    <w:p>
      <w:pPr>
        <w:pStyle w:val="Heading2"/>
        <w:jc w:val="left"/>
        <w:keepNext/>
      </w:pPr>
      <w:r>
        <w:rPr>
          <w:rFonts w:ascii="Times New Roman" w:hAnsi="Times New Roman" w:eastAsia="Times New Roman"/>
          <w:b/>
          <w:color w:val="17365D"/>
          <w:sz w:val="21"/>
        </w:rPr>
        <w:t>A. Local Deployment and Software Components</w:t>
      </w:r>
    </w:p>
    <w:p>
      <w:pPr>
        <w:spacing w:before="40" w:after="120"/>
        <w:jc w:val="center"/>
      </w:pPr>
      <w:r>
        <w:rPr>
          <w:rFonts w:ascii="Times New Roman" w:hAnsi="Times New Roman" w:eastAsia="Times New Roman"/>
          <w:i/>
          <w:sz w:val="17"/>
        </w:rPr>
        <w:t>TABLE I. Final implemented components and evidence boundaries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0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Layer</w:t>
            </w:r>
          </w:p>
        </w:tc>
        <w:tc>
          <w:tcPr>
            <w:tcW w:type="dxa" w:w="3528"/>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Implemented component(s)</w:t>
            </w:r>
          </w:p>
        </w:tc>
        <w:tc>
          <w:tcPr>
            <w:tcW w:type="dxa" w:w="46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Role in this study</w:t>
            </w:r>
          </w:p>
        </w:tc>
      </w:tr>
      <w:tr>
        <w:tc>
          <w:tcPr>
            <w:tcW w:type="dxa" w:w="1800"/>
            <w:tcMar>
              <w:top w:w="80" w:type="dxa"/>
              <w:start w:w="80" w:type="dxa"/>
              <w:bottom w:w="80" w:type="dxa"/>
              <w:end w:w="80" w:type="dxa"/>
            </w:tcMar>
            <w:vAlign w:val="top"/>
          </w:tcPr>
          <w:p>
            <w:pPr>
              <w:spacing w:after="0"/>
              <w:jc w:val="left"/>
            </w:pPr>
            <w:r/>
            <w:r>
              <w:rPr>
                <w:rFonts w:ascii="Times New Roman" w:hAnsi="Times New Roman" w:eastAsia="Times New Roman"/>
                <w:sz w:val="16"/>
              </w:rPr>
              <w:t>Input</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6"/>
              </w:rPr>
              <w:t>Wokwi ESP32 simulator; controlled REST client</w:t>
            </w:r>
          </w:p>
        </w:tc>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Generate Wokwi-compatible synthetic telemetry; not a calibrated meter.</w:t>
            </w:r>
          </w:p>
        </w:tc>
      </w:tr>
      <w:tr>
        <w:tc>
          <w:tcPr>
            <w:tcW w:type="dxa" w:w="180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Identity and gateway</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Keycloak; API Gateway</w:t>
            </w:r>
          </w:p>
        </w:tc>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JWT role mapping, ownership checks, device-token telemetry route.</w:t>
            </w:r>
          </w:p>
        </w:tc>
      </w:tr>
      <w:tr>
        <w:tc>
          <w:tcPr>
            <w:tcW w:type="dxa" w:w="1800"/>
            <w:tcMar>
              <w:top w:w="80" w:type="dxa"/>
              <w:start w:w="80" w:type="dxa"/>
              <w:bottom w:w="80" w:type="dxa"/>
              <w:end w:w="80" w:type="dxa"/>
            </w:tcMar>
            <w:vAlign w:val="top"/>
          </w:tcPr>
          <w:p>
            <w:pPr>
              <w:spacing w:after="0"/>
              <w:jc w:val="left"/>
            </w:pPr>
            <w:r/>
            <w:r>
              <w:rPr>
                <w:rFonts w:ascii="Times New Roman" w:hAnsi="Times New Roman" w:eastAsia="Times New Roman"/>
                <w:sz w:val="16"/>
              </w:rPr>
              <w:t>Event processing</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6"/>
              </w:rPr>
              <w:t>Ingestion, Usage, ML Inference, Alert services; Kafka</w:t>
            </w:r>
          </w:p>
        </w:tc>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Event distribution, time-series persistence, inference, threshold and anomaly handling.</w:t>
            </w:r>
          </w:p>
        </w:tc>
      </w:tr>
      <w:tr>
        <w:tc>
          <w:tcPr>
            <w:tcW w:type="dxa" w:w="180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Data</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InfluxDB; MySQL</w:t>
            </w:r>
          </w:p>
        </w:tc>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Usage series; user, device, and alert metadata.</w:t>
            </w:r>
          </w:p>
        </w:tc>
      </w:tr>
      <w:tr>
        <w:tc>
          <w:tcPr>
            <w:tcW w:type="dxa" w:w="1800"/>
            <w:tcMar>
              <w:top w:w="80" w:type="dxa"/>
              <w:start w:w="80" w:type="dxa"/>
              <w:bottom w:w="80" w:type="dxa"/>
              <w:end w:w="80" w:type="dxa"/>
            </w:tcMar>
            <w:vAlign w:val="top"/>
          </w:tcPr>
          <w:p>
            <w:pPr>
              <w:spacing w:after="0"/>
              <w:jc w:val="left"/>
            </w:pPr>
            <w:r/>
            <w:r>
              <w:rPr>
                <w:rFonts w:ascii="Times New Roman" w:hAnsi="Times New Roman" w:eastAsia="Times New Roman"/>
                <w:sz w:val="16"/>
              </w:rPr>
              <w:t>Presentation and notification</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6"/>
              </w:rPr>
              <w:t>React frontend; Mailpit</w:t>
            </w:r>
          </w:p>
        </w:tc>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Authenticated dashboard use and local mail capture.</w:t>
            </w:r>
          </w:p>
        </w:tc>
      </w:tr>
      <w:tr>
        <w:tc>
          <w:tcPr>
            <w:tcW w:type="dxa" w:w="180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Monitoring</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Prometheus; Grafana; Actuator / ML metrics</w:t>
            </w:r>
          </w:p>
        </w:tc>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Dated local health and metric observations.</w:t>
            </w:r>
          </w:p>
        </w:tc>
      </w:tr>
    </w:tbl>
    <w:p>
      <w:pPr>
        <w:spacing w:after="20"/>
      </w:pPr>
    </w:p>
    <w:p>
      <w:pPr>
        <w:spacing w:before="40" w:after="120"/>
        <w:jc w:val="center"/>
      </w:pPr>
      <w:r>
        <w:rPr>
          <w:rFonts w:ascii="Times New Roman" w:hAnsi="Times New Roman" w:eastAsia="Times New Roman"/>
          <w:i/>
          <w:sz w:val="17"/>
        </w:rPr>
        <w:t>TABLE II. Retained local experimental environment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3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Item</w:t>
            </w:r>
          </w:p>
        </w:tc>
        <w:tc>
          <w:tcPr>
            <w:tcW w:type="dxa" w:w="4824"/>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Recorded configuration</w:t>
            </w:r>
          </w:p>
        </w:tc>
        <w:tc>
          <w:tcPr>
            <w:tcW w:type="dxa" w:w="295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Scope</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Host operating system</w:t>
            </w:r>
          </w:p>
        </w:tc>
        <w:tc>
          <w:tcPr>
            <w:tcW w:type="dxa" w:w="4824"/>
            <w:tcMar>
              <w:top w:w="80" w:type="dxa"/>
              <w:start w:w="80" w:type="dxa"/>
              <w:bottom w:w="80" w:type="dxa"/>
              <w:end w:w="80" w:type="dxa"/>
            </w:tcMar>
            <w:vAlign w:val="top"/>
          </w:tcPr>
          <w:p>
            <w:pPr>
              <w:spacing w:after="0"/>
              <w:jc w:val="left"/>
            </w:pPr>
            <w:r/>
            <w:r>
              <w:rPr>
                <w:rFonts w:ascii="Times New Roman" w:hAnsi="Times New Roman" w:eastAsia="Times New Roman"/>
                <w:sz w:val="16"/>
              </w:rPr>
              <w:t>Windows 11 Home Single Language, build 26300</w:t>
            </w:r>
          </w:p>
        </w:tc>
        <w:tc>
          <w:tcPr>
            <w:tcW w:type="dxa" w:w="2952"/>
            <w:tcMar>
              <w:top w:w="80" w:type="dxa"/>
              <w:start w:w="80" w:type="dxa"/>
              <w:bottom w:w="80" w:type="dxa"/>
              <w:end w:w="80" w:type="dxa"/>
            </w:tcMar>
            <w:vAlign w:val="top"/>
          </w:tcPr>
          <w:p>
            <w:pPr>
              <w:spacing w:after="0"/>
              <w:jc w:val="left"/>
            </w:pPr>
            <w:r/>
            <w:r>
              <w:rPr>
                <w:rFonts w:ascii="Times New Roman" w:hAnsi="Times New Roman" w:eastAsia="Times New Roman"/>
                <w:sz w:val="16"/>
              </w:rPr>
              <w:t>Host used for recorded local validation.</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Compute record</w:t>
            </w:r>
          </w:p>
        </w:tc>
        <w:tc>
          <w:tcPr>
            <w:tcW w:type="dxa" w:w="4824"/>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8 logical processors; 8,311,836,672 bytes physical memory (about 7.74 GiB)</w:t>
            </w:r>
          </w:p>
        </w:tc>
        <w:tc>
          <w:tcPr>
            <w:tcW w:type="dxa" w:w="295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Hardware record captured with the k6 evidence.</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Deployment</w:t>
            </w:r>
          </w:p>
        </w:tc>
        <w:tc>
          <w:tcPr>
            <w:tcW w:type="dxa" w:w="4824"/>
            <w:tcMar>
              <w:top w:w="80" w:type="dxa"/>
              <w:start w:w="80" w:type="dxa"/>
              <w:bottom w:w="80" w:type="dxa"/>
              <w:end w:w="80" w:type="dxa"/>
            </w:tcMar>
            <w:vAlign w:val="top"/>
          </w:tcPr>
          <w:p>
            <w:pPr>
              <w:spacing w:after="0"/>
              <w:jc w:val="left"/>
            </w:pPr>
            <w:r/>
            <w:r>
              <w:rPr>
                <w:rFonts w:ascii="Times New Roman" w:hAnsi="Times New Roman" w:eastAsia="Times New Roman"/>
                <w:sz w:val="16"/>
              </w:rPr>
              <w:t>Docker Compose, 17 configured services</w:t>
            </w:r>
          </w:p>
        </w:tc>
        <w:tc>
          <w:tcPr>
            <w:tcW w:type="dxa" w:w="2952"/>
            <w:tcMar>
              <w:top w:w="80" w:type="dxa"/>
              <w:start w:w="80" w:type="dxa"/>
              <w:bottom w:w="80" w:type="dxa"/>
              <w:end w:w="80" w:type="dxa"/>
            </w:tcMar>
            <w:vAlign w:val="top"/>
          </w:tcPr>
          <w:p>
            <w:pPr>
              <w:spacing w:after="0"/>
              <w:jc w:val="left"/>
            </w:pPr>
            <w:r/>
            <w:r>
              <w:rPr>
                <w:rFonts w:ascii="Times New Roman" w:hAnsi="Times New Roman" w:eastAsia="Times New Roman"/>
                <w:sz w:val="16"/>
              </w:rPr>
              <w:t>Local single-host deployment; not a distributed cluster.</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Load tool</w:t>
            </w:r>
          </w:p>
        </w:tc>
        <w:tc>
          <w:tcPr>
            <w:tcW w:type="dxa" w:w="4824"/>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Grafana k6 Docker image</w:t>
            </w:r>
          </w:p>
        </w:tc>
        <w:tc>
          <w:tcPr>
            <w:tcW w:type="dxa" w:w="295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One specified ingestion scenario; no repeated-trial confidence interval.</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Mail test endpoint</w:t>
            </w:r>
          </w:p>
        </w:tc>
        <w:tc>
          <w:tcPr>
            <w:tcW w:type="dxa" w:w="4824"/>
            <w:tcMar>
              <w:top w:w="80" w:type="dxa"/>
              <w:start w:w="80" w:type="dxa"/>
              <w:bottom w:w="80" w:type="dxa"/>
              <w:end w:w="80" w:type="dxa"/>
            </w:tcMar>
            <w:vAlign w:val="top"/>
          </w:tcPr>
          <w:p>
            <w:pPr>
              <w:spacing w:after="0"/>
              <w:jc w:val="left"/>
            </w:pPr>
            <w:r/>
            <w:r>
              <w:rPr>
                <w:rFonts w:ascii="Times New Roman" w:hAnsi="Times New Roman" w:eastAsia="Times New Roman"/>
                <w:sz w:val="16"/>
              </w:rPr>
              <w:t>Mailpit</w:t>
            </w:r>
          </w:p>
        </w:tc>
        <w:tc>
          <w:tcPr>
            <w:tcW w:type="dxa" w:w="2952"/>
            <w:tcMar>
              <w:top w:w="80" w:type="dxa"/>
              <w:start w:w="80" w:type="dxa"/>
              <w:bottom w:w="80" w:type="dxa"/>
              <w:end w:w="80" w:type="dxa"/>
            </w:tcMar>
            <w:vAlign w:val="top"/>
          </w:tcPr>
          <w:p>
            <w:pPr>
              <w:spacing w:after="0"/>
              <w:jc w:val="left"/>
            </w:pPr>
            <w:r/>
            <w:r>
              <w:rPr>
                <w:rFonts w:ascii="Times New Roman" w:hAnsi="Times New Roman" w:eastAsia="Times New Roman"/>
                <w:sz w:val="16"/>
              </w:rPr>
              <w:t>Local capture only; not an external mail-provider evaluation.</w:t>
            </w:r>
          </w:p>
        </w:tc>
      </w:tr>
    </w:tbl>
    <w:p>
      <w:pPr>
        <w:spacing w:after="20"/>
      </w:pPr>
    </w:p>
    <w:p>
      <w:pPr>
        <w:pStyle w:val="Heading2"/>
        <w:jc w:val="left"/>
        <w:keepNext/>
      </w:pPr>
      <w:r>
        <w:rPr>
          <w:rFonts w:ascii="Times New Roman" w:hAnsi="Times New Roman" w:eastAsia="Times New Roman"/>
          <w:b/>
          <w:color w:val="17365D"/>
          <w:sz w:val="21"/>
        </w:rPr>
        <w:t>B. Dataset and Model Configuration</w:t>
      </w:r>
    </w:p>
    <w:p>
      <w:pPr>
        <w:spacing w:before="40" w:after="120"/>
        <w:jc w:val="center"/>
      </w:pPr>
      <w:r>
        <w:rPr>
          <w:rFonts w:ascii="Times New Roman" w:hAnsi="Times New Roman" w:eastAsia="Times New Roman"/>
          <w:i/>
          <w:sz w:val="17"/>
        </w:rPr>
        <w:t>TABLE III. Dataset characteristics and split configuration</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52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Characteristic</w:t>
            </w:r>
          </w:p>
        </w:tc>
        <w:tc>
          <w:tcPr>
            <w:tcW w:type="dxa" w:w="756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Verified value</w:t>
            </w:r>
          </w:p>
        </w:tc>
      </w:tr>
      <w:tr>
        <w:tc>
          <w:tcPr>
            <w:tcW w:type="dxa" w:w="2520"/>
            <w:tcMar>
              <w:top w:w="80" w:type="dxa"/>
              <w:start w:w="80" w:type="dxa"/>
              <w:bottom w:w="80" w:type="dxa"/>
              <w:end w:w="80" w:type="dxa"/>
            </w:tcMar>
            <w:vAlign w:val="top"/>
          </w:tcPr>
          <w:p>
            <w:pPr>
              <w:spacing w:after="0"/>
              <w:jc w:val="left"/>
            </w:pPr>
            <w:r/>
            <w:r>
              <w:rPr>
                <w:rFonts w:ascii="Times New Roman" w:hAnsi="Times New Roman" w:eastAsia="Times New Roman"/>
                <w:sz w:val="16"/>
              </w:rPr>
              <w:t>Dataset identity</w:t>
            </w:r>
          </w:p>
        </w:tc>
        <w:tc>
          <w:tcPr>
            <w:tcW w:type="dxa" w:w="7560"/>
            <w:tcMar>
              <w:top w:w="80" w:type="dxa"/>
              <w:start w:w="80" w:type="dxa"/>
              <w:bottom w:w="80" w:type="dxa"/>
              <w:end w:w="80" w:type="dxa"/>
            </w:tcMar>
            <w:vAlign w:val="top"/>
          </w:tcPr>
          <w:p>
            <w:pPr>
              <w:spacing w:after="0"/>
              <w:jc w:val="left"/>
            </w:pPr>
            <w:r/>
            <w:r>
              <w:rPr>
                <w:rFonts w:ascii="Times New Roman" w:hAnsi="Times New Roman" w:eastAsia="Times New Roman"/>
                <w:sz w:val="16"/>
              </w:rPr>
              <w:t>smart_meter_data.csv; source, licence, and label-generation provenance are absent from the repository.</w:t>
            </w:r>
          </w:p>
        </w:tc>
      </w:tr>
      <w:tr>
        <w:tc>
          <w:tcPr>
            <w:tcW w:type="dxa" w:w="252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Raw shape</w:t>
            </w:r>
          </w:p>
        </w:tc>
        <w:tc>
          <w:tcPr>
            <w:tcW w:type="dxa" w:w="756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5,000 rows; 7 CSV columns: Timestamp, Electricity_Consumed, Temperature, Humidity, Wind_Speed, Avg_Past_Consumption, Anomaly_Label.</w:t>
            </w:r>
          </w:p>
        </w:tc>
      </w:tr>
      <w:tr>
        <w:tc>
          <w:tcPr>
            <w:tcW w:type="dxa" w:w="2520"/>
            <w:tcMar>
              <w:top w:w="80" w:type="dxa"/>
              <w:start w:w="80" w:type="dxa"/>
              <w:bottom w:w="80" w:type="dxa"/>
              <w:end w:w="80" w:type="dxa"/>
            </w:tcMar>
            <w:vAlign w:val="top"/>
          </w:tcPr>
          <w:p>
            <w:pPr>
              <w:spacing w:after="0"/>
              <w:jc w:val="left"/>
            </w:pPr>
            <w:r/>
            <w:r>
              <w:rPr>
                <w:rFonts w:ascii="Times New Roman" w:hAnsi="Times New Roman" w:eastAsia="Times New Roman"/>
                <w:sz w:val="16"/>
              </w:rPr>
              <w:t>Time coverage</w:t>
            </w:r>
          </w:p>
        </w:tc>
        <w:tc>
          <w:tcPr>
            <w:tcW w:type="dxa" w:w="7560"/>
            <w:tcMar>
              <w:top w:w="80" w:type="dxa"/>
              <w:start w:w="80" w:type="dxa"/>
              <w:bottom w:w="80" w:type="dxa"/>
              <w:end w:w="80" w:type="dxa"/>
            </w:tcMar>
            <w:vAlign w:val="top"/>
          </w:tcPr>
          <w:p>
            <w:pPr>
              <w:spacing w:after="0"/>
              <w:jc w:val="left"/>
            </w:pPr>
            <w:r/>
            <w:r>
              <w:rPr>
                <w:rFonts w:ascii="Times New Roman" w:hAnsi="Times New Roman" w:eastAsia="Times New Roman"/>
                <w:sz w:val="16"/>
              </w:rPr>
              <w:t>2024-01-01 00:00:00 to 2024-04-14 03:30:00 at uniform 30-minute intervals.</w:t>
            </w:r>
          </w:p>
        </w:tc>
      </w:tr>
      <w:tr>
        <w:tc>
          <w:tcPr>
            <w:tcW w:type="dxa" w:w="252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Data-quality checks</w:t>
            </w:r>
          </w:p>
        </w:tc>
        <w:tc>
          <w:tcPr>
            <w:tcW w:type="dxa" w:w="756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0 missing raw values; 0 complete duplicate rows; 0 invalid timestamp/numeric/negative-energy rows in the retained data.</w:t>
            </w:r>
          </w:p>
        </w:tc>
      </w:tr>
      <w:tr>
        <w:tc>
          <w:tcPr>
            <w:tcW w:type="dxa" w:w="2520"/>
            <w:tcMar>
              <w:top w:w="80" w:type="dxa"/>
              <w:start w:w="80" w:type="dxa"/>
              <w:bottom w:w="80" w:type="dxa"/>
              <w:end w:w="80" w:type="dxa"/>
            </w:tcMar>
            <w:vAlign w:val="top"/>
          </w:tcPr>
          <w:p>
            <w:pPr>
              <w:spacing w:after="0"/>
              <w:jc w:val="left"/>
            </w:pPr>
            <w:r/>
            <w:r>
              <w:rPr>
                <w:rFonts w:ascii="Times New Roman" w:hAnsi="Times New Roman" w:eastAsia="Times New Roman"/>
                <w:sz w:val="16"/>
              </w:rPr>
              <w:t>Class distribution</w:t>
            </w:r>
          </w:p>
        </w:tc>
        <w:tc>
          <w:tcPr>
            <w:tcW w:type="dxa" w:w="7560"/>
            <w:tcMar>
              <w:top w:w="80" w:type="dxa"/>
              <w:start w:w="80" w:type="dxa"/>
              <w:bottom w:w="80" w:type="dxa"/>
              <w:end w:w="80" w:type="dxa"/>
            </w:tcMar>
            <w:vAlign w:val="top"/>
          </w:tcPr>
          <w:p>
            <w:pPr>
              <w:spacing w:after="0"/>
              <w:jc w:val="left"/>
            </w:pPr>
            <w:r/>
            <w:r>
              <w:rPr>
                <w:rFonts w:ascii="Times New Roman" w:hAnsi="Times New Roman" w:eastAsia="Times New Roman"/>
                <w:sz w:val="16"/>
              </w:rPr>
              <w:t>4,750 Normal (95.0%); 250 Abnormal (5.0%).</w:t>
            </w:r>
          </w:p>
        </w:tc>
      </w:tr>
      <w:tr>
        <w:tc>
          <w:tcPr>
            <w:tcW w:type="dxa" w:w="252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Chronological split</w:t>
            </w:r>
          </w:p>
        </w:tc>
        <w:tc>
          <w:tcPr>
            <w:tcW w:type="dxa" w:w="756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Train 3,500 (3,335/165); validation 750 (705/45); held-out test 750 (710/40), reported as Normal/Abnormal.</w:t>
            </w:r>
          </w:p>
        </w:tc>
      </w:tr>
      <w:tr>
        <w:tc>
          <w:tcPr>
            <w:tcW w:type="dxa" w:w="2520"/>
            <w:tcMar>
              <w:top w:w="80" w:type="dxa"/>
              <w:start w:w="80" w:type="dxa"/>
              <w:bottom w:w="80" w:type="dxa"/>
              <w:end w:w="80" w:type="dxa"/>
            </w:tcMar>
            <w:vAlign w:val="top"/>
          </w:tcPr>
          <w:p>
            <w:pPr>
              <w:spacing w:after="0"/>
              <w:jc w:val="left"/>
            </w:pPr>
            <w:r/>
            <w:r>
              <w:rPr>
                <w:rFonts w:ascii="Times New Roman" w:hAnsi="Times New Roman" w:eastAsia="Times New Roman"/>
                <w:sz w:val="16"/>
              </w:rPr>
              <w:t>Feature set</w:t>
            </w:r>
          </w:p>
        </w:tc>
        <w:tc>
          <w:tcPr>
            <w:tcW w:type="dxa" w:w="7560"/>
            <w:tcMar>
              <w:top w:w="80" w:type="dxa"/>
              <w:start w:w="80" w:type="dxa"/>
              <w:bottom w:w="80" w:type="dxa"/>
              <w:end w:w="80" w:type="dxa"/>
            </w:tcMar>
            <w:vAlign w:val="top"/>
          </w:tcPr>
          <w:p>
            <w:pPr>
              <w:spacing w:after="0"/>
              <w:jc w:val="left"/>
            </w:pPr>
            <w:r/>
            <w:r>
              <w:rPr>
                <w:rFonts w:ascii="Times New Roman" w:hAnsi="Times New Roman" w:eastAsia="Times New Roman"/>
                <w:sz w:val="16"/>
              </w:rPr>
              <w:t>Five raw numeric fields plus Hour, DayOfWeek, and ConsumptionDeviation.</w:t>
            </w:r>
          </w:p>
        </w:tc>
      </w:tr>
    </w:tbl>
    <w:p>
      <w:pPr>
        <w:spacing w:after="20"/>
      </w:pPr>
    </w:p>
    <w:p>
      <w:pPr>
        <w:spacing w:before="40" w:after="120"/>
        <w:jc w:val="center"/>
      </w:pPr>
      <w:r>
        <w:rPr>
          <w:rFonts w:ascii="Times New Roman" w:hAnsi="Times New Roman" w:eastAsia="Times New Roman"/>
          <w:i/>
          <w:sz w:val="17"/>
        </w:rPr>
        <w:t>TABLE IV. Candidate model configuration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37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Model</w:t>
            </w:r>
          </w:p>
        </w:tc>
        <w:tc>
          <w:tcPr>
            <w:tcW w:type="dxa" w:w="5184"/>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Configuration</w:t>
            </w:r>
          </w:p>
        </w:tc>
        <w:tc>
          <w:tcPr>
            <w:tcW w:type="dxa" w:w="252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Threshold selection</w:t>
            </w:r>
          </w:p>
        </w:tc>
      </w:tr>
      <w:tr>
        <w:tc>
          <w:tcPr>
            <w:tcW w:type="dxa" w:w="2376"/>
            <w:tcMar>
              <w:top w:w="80" w:type="dxa"/>
              <w:start w:w="80" w:type="dxa"/>
              <w:bottom w:w="80" w:type="dxa"/>
              <w:end w:w="80" w:type="dxa"/>
            </w:tcMar>
            <w:vAlign w:val="top"/>
          </w:tcPr>
          <w:p>
            <w:pPr>
              <w:spacing w:after="0"/>
              <w:jc w:val="left"/>
            </w:pPr>
            <w:r/>
            <w:r>
              <w:rPr>
                <w:rFonts w:ascii="Times New Roman" w:hAnsi="Times New Roman" w:eastAsia="Times New Roman"/>
                <w:sz w:val="16"/>
              </w:rPr>
              <w:t>Logistic Regression</w:t>
            </w:r>
          </w:p>
        </w:tc>
        <w:tc>
          <w:tcPr>
            <w:tcW w:type="dxa" w:w="5184"/>
            <w:tcMar>
              <w:top w:w="80" w:type="dxa"/>
              <w:start w:w="80" w:type="dxa"/>
              <w:bottom w:w="80" w:type="dxa"/>
              <w:end w:w="80" w:type="dxa"/>
            </w:tcMar>
            <w:vAlign w:val="top"/>
          </w:tcPr>
          <w:p>
            <w:pPr>
              <w:spacing w:after="0"/>
              <w:jc w:val="left"/>
            </w:pPr>
            <w:r/>
            <w:r>
              <w:rPr>
                <w:rFonts w:ascii="Times New Roman" w:hAnsi="Times New Roman" w:eastAsia="Times New Roman"/>
                <w:sz w:val="16"/>
              </w:rPr>
              <w:t>StandardScaler → LogisticRegression(max_iter=1000, class_weight=balanced, random_state=42)</w:t>
            </w:r>
          </w:p>
        </w:tc>
        <w:tc>
          <w:tcPr>
            <w:tcW w:type="dxa" w:w="2520"/>
            <w:tcMar>
              <w:top w:w="80" w:type="dxa"/>
              <w:start w:w="80" w:type="dxa"/>
              <w:bottom w:w="80" w:type="dxa"/>
              <w:end w:w="80" w:type="dxa"/>
            </w:tcMar>
            <w:vAlign w:val="top"/>
          </w:tcPr>
          <w:p>
            <w:pPr>
              <w:spacing w:after="0"/>
              <w:jc w:val="left"/>
            </w:pPr>
            <w:r/>
            <w:r>
              <w:rPr>
                <w:rFonts w:ascii="Times New Roman" w:hAnsi="Times New Roman" w:eastAsia="Times New Roman"/>
                <w:sz w:val="16"/>
              </w:rPr>
              <w:t>Validation F1, 0.05–0.95 search in 0.01 increments.</w:t>
            </w:r>
          </w:p>
        </w:tc>
      </w:tr>
      <w:tr>
        <w:tc>
          <w:tcPr>
            <w:tcW w:type="dxa" w:w="2376"/>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Random Forest (selected)</w:t>
            </w:r>
          </w:p>
        </w:tc>
        <w:tc>
          <w:tcPr>
            <w:tcW w:type="dxa" w:w="5184"/>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300 trees; min_samples_leaf=2; class_weight=balanced_subsample; random_state=42; n_jobs=-1</w:t>
            </w:r>
          </w:p>
        </w:tc>
        <w:tc>
          <w:tcPr>
            <w:tcW w:type="dxa" w:w="252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Validation F1; selected threshold 0.31.</w:t>
            </w:r>
          </w:p>
        </w:tc>
      </w:tr>
    </w:tbl>
    <w:p>
      <w:pPr>
        <w:spacing w:after="20"/>
      </w:pPr>
    </w:p>
    <w:p>
      <w:pPr>
        <w:pStyle w:val="Heading2"/>
        <w:jc w:val="left"/>
        <w:keepNext/>
      </w:pPr>
      <w:r>
        <w:rPr>
          <w:rFonts w:ascii="Times New Roman" w:hAnsi="Times New Roman" w:eastAsia="Times New Roman"/>
          <w:b/>
          <w:color w:val="17365D"/>
          <w:sz w:val="21"/>
        </w:rPr>
        <w:t>C. Test Procedures</w:t>
      </w:r>
    </w:p>
    <w:p>
      <w:pPr>
        <w:pStyle w:val="ListNumber"/>
        <w:ind w:left="340" w:hanging="198"/>
      </w:pPr>
      <w:r>
        <w:rPr>
          <w:rFonts w:ascii="Times New Roman" w:hAnsi="Times New Roman" w:eastAsia="Times New Roman"/>
          <w:sz w:val="19"/>
        </w:rPr>
        <w:t>Offline ML evaluation: audit the CSV, apply the chronological split and feature transformation, select the threshold by validation F1, and report untouched held-out test metrics.</w:t>
      </w:r>
    </w:p>
    <w:p>
      <w:pPr>
        <w:pStyle w:val="ListNumber"/>
        <w:ind w:left="340" w:hanging="198"/>
      </w:pPr>
      <w:r>
        <w:rPr>
          <w:rFonts w:ascii="Times New Roman" w:hAnsi="Times New Roman" w:eastAsia="Times New Roman"/>
          <w:sz w:val="19"/>
        </w:rPr>
        <w:t>Security validation: obtain local Keycloak tokens and execute eight expected-status scenarios for owned access, unauthorized access, ownership rejection, administration, machine token, and token expiry.</w:t>
      </w:r>
    </w:p>
    <w:p>
      <w:pPr>
        <w:pStyle w:val="ListNumber"/>
        <w:ind w:left="340" w:hanging="198"/>
      </w:pPr>
      <w:r>
        <w:rPr>
          <w:rFonts w:ascii="Times New Roman" w:hAnsi="Times New Roman" w:eastAsia="Times New Roman"/>
          <w:sz w:val="19"/>
        </w:rPr>
        <w:t>Functional/E2E verification: create a controlled profile and device, submit synthetic telemetry through the gateway, poll the downstream APIs, and compare deterministic results and Mailpit capture with predeclared expected values.</w:t>
      </w:r>
    </w:p>
    <w:p>
      <w:pPr>
        <w:pStyle w:val="ListNumber"/>
        <w:ind w:left="340" w:hanging="198"/>
      </w:pPr>
      <w:r>
        <w:rPr>
          <w:rFonts w:ascii="Times New Roman" w:hAnsi="Times New Roman" w:eastAsia="Times New Roman"/>
          <w:sz w:val="19"/>
        </w:rPr>
        <w:t>Alert deduplication: submit identical records, inspect alert persistence and the suppression log inside the configured 15-minute window.</w:t>
      </w:r>
    </w:p>
    <w:p>
      <w:pPr>
        <w:pStyle w:val="ListNumber"/>
        <w:ind w:left="340" w:hanging="198"/>
      </w:pPr>
      <w:r>
        <w:rPr>
          <w:rFonts w:ascii="Times New Roman" w:hAnsi="Times New Roman" w:eastAsia="Times New Roman"/>
          <w:sz w:val="19"/>
        </w:rPr>
        <w:t>Performance validation: run the recorded k6 ingestion profile (1 request/s start; 2, 5, and 10 requests/s for 30 s stages; 15 s ramp-down) using authenticated local ingestion requests.</w:t>
      </w:r>
    </w:p>
    <w:p>
      <w:pPr>
        <w:pStyle w:val="ListNumber"/>
        <w:ind w:left="340" w:hanging="198"/>
      </w:pPr>
      <w:r>
        <w:rPr>
          <w:rFonts w:ascii="Times New Roman" w:hAnsi="Times New Roman" w:eastAsia="Times New Roman"/>
          <w:sz w:val="19"/>
        </w:rPr>
        <w:t>Fault scenarios: stop Mailpit or the ML service, test whether gateway ingestion is accepted, manually restart the stopped service, and record container-state recovery. This procedure does not assert end-to-end replay or delivery.</w:t>
      </w:r>
    </w:p>
    <w:p>
      <w:pPr>
        <w:pStyle w:val="Heading1"/>
        <w:jc w:val="left"/>
        <w:keepNext/>
      </w:pPr>
      <w:r>
        <w:rPr>
          <w:rFonts w:ascii="Times New Roman" w:hAnsi="Times New Roman" w:eastAsia="Times New Roman"/>
          <w:b/>
          <w:color w:val="17365D"/>
          <w:sz w:val="24"/>
        </w:rPr>
        <w:t>V. RESULTS AND DISCUSSION</w:t>
      </w:r>
    </w:p>
    <w:p>
      <w:pPr>
        <w:pStyle w:val="Heading2"/>
        <w:jc w:val="left"/>
        <w:keepNext/>
      </w:pPr>
      <w:r>
        <w:rPr>
          <w:rFonts w:ascii="Times New Roman" w:hAnsi="Times New Roman" w:eastAsia="Times New Roman"/>
          <w:b/>
          <w:color w:val="17365D"/>
          <w:sz w:val="21"/>
        </w:rPr>
        <w:t>A. Offline ML Evaluation</w:t>
      </w:r>
    </w:p>
    <w:p>
      <w:pPr>
        <w:keepLines/>
      </w:pPr>
      <w:r>
        <w:rPr>
          <w:rFonts w:ascii="Times New Roman" w:hAnsi="Times New Roman" w:eastAsia="Times New Roman"/>
          <w:i w:val="0"/>
        </w:rPr>
        <w:t>Table V reports model results on the held-out chronological test interval. Random Forest was selected by validation F1 and substantially outperformed the Logistic Regression comparator on this specific retained interval. The Random Forest confusion matrix contains 705 true negatives, 5 false positives, 3 false negatives, and 37 true positives. Although an accuracy of 742/750 (98.93%) follows from this matrix, F1, PR-AUC, and recall are more informative in the 5% abnormal-class setting and are therefore emphasized.</w:t>
      </w:r>
    </w:p>
    <w:p>
      <w:pPr>
        <w:spacing w:before="40" w:after="120"/>
        <w:jc w:val="center"/>
      </w:pPr>
      <w:r>
        <w:rPr>
          <w:rFonts w:ascii="Times New Roman" w:hAnsi="Times New Roman" w:eastAsia="Times New Roman"/>
          <w:i/>
          <w:sz w:val="17"/>
        </w:rPr>
        <w:t>TABLE V. Offline anomaly-detection results on the held-out CSV interval</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01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Model</w:t>
            </w:r>
          </w:p>
        </w:tc>
        <w:tc>
          <w:tcPr>
            <w:tcW w:type="dxa" w:w="10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Threshold</w:t>
            </w:r>
          </w:p>
        </w:tc>
        <w:tc>
          <w:tcPr>
            <w:tcW w:type="dxa" w:w="129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Precision</w:t>
            </w:r>
          </w:p>
        </w:tc>
        <w:tc>
          <w:tcPr>
            <w:tcW w:type="dxa" w:w="10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Recall</w:t>
            </w:r>
          </w:p>
        </w:tc>
        <w:tc>
          <w:tcPr>
            <w:tcW w:type="dxa" w:w="93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F1</w:t>
            </w:r>
          </w:p>
        </w:tc>
        <w:tc>
          <w:tcPr>
            <w:tcW w:type="dxa" w:w="129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ROC-AUC</w:t>
            </w:r>
          </w:p>
        </w:tc>
        <w:tc>
          <w:tcPr>
            <w:tcW w:type="dxa" w:w="115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PR-AUC</w:t>
            </w:r>
          </w:p>
        </w:tc>
      </w:tr>
      <w:tr>
        <w:tc>
          <w:tcPr>
            <w:tcW w:type="dxa" w:w="2016"/>
            <w:tcMar>
              <w:top w:w="80" w:type="dxa"/>
              <w:start w:w="80" w:type="dxa"/>
              <w:bottom w:w="80" w:type="dxa"/>
              <w:end w:w="80" w:type="dxa"/>
            </w:tcMar>
            <w:vAlign w:val="top"/>
          </w:tcPr>
          <w:p>
            <w:pPr>
              <w:spacing w:after="0"/>
              <w:jc w:val="left"/>
            </w:pPr>
            <w:r/>
            <w:r>
              <w:rPr>
                <w:rFonts w:ascii="Times New Roman" w:hAnsi="Times New Roman" w:eastAsia="Times New Roman"/>
                <w:sz w:val="15"/>
              </w:rPr>
              <w:t>Logistic Regression</w:t>
            </w:r>
          </w:p>
        </w:tc>
        <w:tc>
          <w:tcPr>
            <w:tcW w:type="dxa" w:w="1080"/>
            <w:tcMar>
              <w:top w:w="80" w:type="dxa"/>
              <w:start w:w="80" w:type="dxa"/>
              <w:bottom w:w="80" w:type="dxa"/>
              <w:end w:w="80" w:type="dxa"/>
            </w:tcMar>
            <w:vAlign w:val="top"/>
          </w:tcPr>
          <w:p>
            <w:pPr>
              <w:spacing w:after="0"/>
              <w:jc w:val="left"/>
            </w:pPr>
            <w:r/>
            <w:r>
              <w:rPr>
                <w:rFonts w:ascii="Times New Roman" w:hAnsi="Times New Roman" w:eastAsia="Times New Roman"/>
                <w:sz w:val="15"/>
              </w:rPr>
              <w:t>0.28</w:t>
            </w:r>
          </w:p>
        </w:tc>
        <w:tc>
          <w:tcPr>
            <w:tcW w:type="dxa" w:w="1296"/>
            <w:tcMar>
              <w:top w:w="80" w:type="dxa"/>
              <w:start w:w="80" w:type="dxa"/>
              <w:bottom w:w="80" w:type="dxa"/>
              <w:end w:w="80" w:type="dxa"/>
            </w:tcMar>
            <w:vAlign w:val="top"/>
          </w:tcPr>
          <w:p>
            <w:pPr>
              <w:spacing w:after="0"/>
              <w:jc w:val="left"/>
            </w:pPr>
            <w:r/>
            <w:r>
              <w:rPr>
                <w:rFonts w:ascii="Times New Roman" w:hAnsi="Times New Roman" w:eastAsia="Times New Roman"/>
                <w:sz w:val="15"/>
              </w:rPr>
              <w:t>0.05333</w:t>
            </w:r>
          </w:p>
        </w:tc>
        <w:tc>
          <w:tcPr>
            <w:tcW w:type="dxa" w:w="1080"/>
            <w:tcMar>
              <w:top w:w="80" w:type="dxa"/>
              <w:start w:w="80" w:type="dxa"/>
              <w:bottom w:w="80" w:type="dxa"/>
              <w:end w:w="80" w:type="dxa"/>
            </w:tcMar>
            <w:vAlign w:val="top"/>
          </w:tcPr>
          <w:p>
            <w:pPr>
              <w:spacing w:after="0"/>
              <w:jc w:val="left"/>
            </w:pPr>
            <w:r/>
            <w:r>
              <w:rPr>
                <w:rFonts w:ascii="Times New Roman" w:hAnsi="Times New Roman" w:eastAsia="Times New Roman"/>
                <w:sz w:val="15"/>
              </w:rPr>
              <w:t>1.00000</w:t>
            </w:r>
          </w:p>
        </w:tc>
        <w:tc>
          <w:tcPr>
            <w:tcW w:type="dxa" w:w="936"/>
            <w:tcMar>
              <w:top w:w="80" w:type="dxa"/>
              <w:start w:w="80" w:type="dxa"/>
              <w:bottom w:w="80" w:type="dxa"/>
              <w:end w:w="80" w:type="dxa"/>
            </w:tcMar>
            <w:vAlign w:val="top"/>
          </w:tcPr>
          <w:p>
            <w:pPr>
              <w:spacing w:after="0"/>
              <w:jc w:val="left"/>
            </w:pPr>
            <w:r/>
            <w:r>
              <w:rPr>
                <w:rFonts w:ascii="Times New Roman" w:hAnsi="Times New Roman" w:eastAsia="Times New Roman"/>
                <w:sz w:val="15"/>
              </w:rPr>
              <w:t>0.10127</w:t>
            </w:r>
          </w:p>
        </w:tc>
        <w:tc>
          <w:tcPr>
            <w:tcW w:type="dxa" w:w="1296"/>
            <w:tcMar>
              <w:top w:w="80" w:type="dxa"/>
              <w:start w:w="80" w:type="dxa"/>
              <w:bottom w:w="80" w:type="dxa"/>
              <w:end w:w="80" w:type="dxa"/>
            </w:tcMar>
            <w:vAlign w:val="top"/>
          </w:tcPr>
          <w:p>
            <w:pPr>
              <w:spacing w:after="0"/>
              <w:jc w:val="left"/>
            </w:pPr>
            <w:r/>
            <w:r>
              <w:rPr>
                <w:rFonts w:ascii="Times New Roman" w:hAnsi="Times New Roman" w:eastAsia="Times New Roman"/>
                <w:sz w:val="15"/>
              </w:rPr>
              <w:t>0.42285</w:t>
            </w:r>
          </w:p>
        </w:tc>
        <w:tc>
          <w:tcPr>
            <w:tcW w:type="dxa" w:w="1152"/>
            <w:tcMar>
              <w:top w:w="80" w:type="dxa"/>
              <w:start w:w="80" w:type="dxa"/>
              <w:bottom w:w="80" w:type="dxa"/>
              <w:end w:w="80" w:type="dxa"/>
            </w:tcMar>
            <w:vAlign w:val="top"/>
          </w:tcPr>
          <w:p>
            <w:pPr>
              <w:spacing w:after="0"/>
              <w:jc w:val="left"/>
            </w:pPr>
            <w:r/>
            <w:r>
              <w:rPr>
                <w:rFonts w:ascii="Times New Roman" w:hAnsi="Times New Roman" w:eastAsia="Times New Roman"/>
                <w:sz w:val="15"/>
              </w:rPr>
              <w:t>0.05971</w:t>
            </w:r>
          </w:p>
        </w:tc>
      </w:tr>
      <w:tr>
        <w:tc>
          <w:tcPr>
            <w:tcW w:type="dxa" w:w="201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Random Forest</w:t>
            </w:r>
          </w:p>
        </w:tc>
        <w:tc>
          <w:tcPr>
            <w:tcW w:type="dxa" w:w="1080"/>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0.31</w:t>
            </w:r>
          </w:p>
        </w:tc>
        <w:tc>
          <w:tcPr>
            <w:tcW w:type="dxa" w:w="129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0.88095</w:t>
            </w:r>
          </w:p>
        </w:tc>
        <w:tc>
          <w:tcPr>
            <w:tcW w:type="dxa" w:w="1080"/>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0.92500</w:t>
            </w:r>
          </w:p>
        </w:tc>
        <w:tc>
          <w:tcPr>
            <w:tcW w:type="dxa" w:w="93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0.90244</w:t>
            </w:r>
          </w:p>
        </w:tc>
        <w:tc>
          <w:tcPr>
            <w:tcW w:type="dxa" w:w="129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0.99743</w:t>
            </w:r>
          </w:p>
        </w:tc>
        <w:tc>
          <w:tcPr>
            <w:tcW w:type="dxa" w:w="1152"/>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0.94853</w:t>
            </w:r>
          </w:p>
        </w:tc>
      </w:tr>
    </w:tbl>
    <w:p>
      <w:pPr>
        <w:spacing w:after="20"/>
      </w:pPr>
    </w:p>
    <w:p>
      <w:pPr>
        <w:jc w:val="center"/>
      </w:pPr>
      <w:r>
        <w:drawing>
          <wp:inline xmlns:a="http://schemas.openxmlformats.org/drawingml/2006/main" xmlns:pic="http://schemas.openxmlformats.org/drawingml/2006/picture">
            <wp:extent cx="4297680" cy="3820160"/>
            <wp:docPr id="3" name="Picture 3"/>
            <wp:cNvGraphicFramePr>
              <a:graphicFrameLocks noChangeAspect="1"/>
            </wp:cNvGraphicFramePr>
            <a:graphic>
              <a:graphicData uri="http://schemas.openxmlformats.org/drawingml/2006/picture">
                <pic:pic>
                  <pic:nvPicPr>
                    <pic:cNvPr id="0" name="confusion_matrix_random_forest.png"/>
                    <pic:cNvPicPr/>
                  </pic:nvPicPr>
                  <pic:blipFill>
                    <a:blip r:embed="rId13"/>
                    <a:stretch>
                      <a:fillRect/>
                    </a:stretch>
                  </pic:blipFill>
                  <pic:spPr>
                    <a:xfrm>
                      <a:off x="0" y="0"/>
                      <a:ext cx="4297680" cy="3820160"/>
                    </a:xfrm>
                    <a:prstGeom prst="rect"/>
                  </pic:spPr>
                </pic:pic>
              </a:graphicData>
            </a:graphic>
          </wp:inline>
        </w:drawing>
      </w:r>
    </w:p>
    <w:p>
      <w:pPr>
        <w:spacing w:before="40" w:after="120"/>
        <w:jc w:val="center"/>
      </w:pPr>
      <w:r>
        <w:rPr>
          <w:rFonts w:ascii="Times New Roman" w:hAnsi="Times New Roman" w:eastAsia="Times New Roman"/>
          <w:i/>
          <w:sz w:val="17"/>
        </w:rPr>
        <w:t>Fig. 3. Random Forest confusion matrix on the 750-record held-out CSV interval.</w:t>
      </w:r>
    </w:p>
    <w:p>
      <w:pPr>
        <w:keepLines/>
      </w:pPr>
      <w:r>
        <w:rPr>
          <w:rFonts w:ascii="Times New Roman" w:hAnsi="Times New Roman" w:eastAsia="Times New Roman"/>
          <w:i w:val="0"/>
        </w:rPr>
        <w:t>The metric results characterize one anonymous, labelled CSV stream. They do not establish physical deployment performance. In particular, the dataset does not document its source, licence, entity identity, or label-generation method. Moreover, the Wokwi modes emit 1–40 kWh values while the recorded training Electricity_Consumed range is 0–1 with undocumented units; optional contextual features are median-imputed at runtime. Consequently, the offline metrics must not be extrapolated to simulated heavy-load modes, household meters, or utility data.</w:t>
      </w:r>
    </w:p>
    <w:p>
      <w:pPr>
        <w:pStyle w:val="Heading2"/>
        <w:jc w:val="left"/>
        <w:keepNext/>
      </w:pPr>
      <w:r>
        <w:rPr>
          <w:rFonts w:ascii="Times New Roman" w:hAnsi="Times New Roman" w:eastAsia="Times New Roman"/>
          <w:b/>
          <w:color w:val="17365D"/>
          <w:sz w:val="21"/>
        </w:rPr>
        <w:t>B. Controlled Functional and End-to-End Verification</w:t>
      </w:r>
    </w:p>
    <w:p>
      <w:pPr>
        <w:keepLines/>
      </w:pPr>
      <w:r>
        <w:rPr>
          <w:rFonts w:ascii="Times New Roman" w:hAnsi="Times New Roman" w:eastAsia="Times New Roman"/>
          <w:i w:val="0"/>
        </w:rPr>
        <w:t>The latest successful E2E record used synthetic REST telemetry submitted through the Wokwi-compatible endpoint. Three analytics inputs (0.25, 0.50, and 0.75 kWh) resulted in a 1.50 kWh total. The documented forecast, ranking, and standby assertions passed. A separate 1.00 kWh input against a 0.10 kWh user threshold produced a persisted THRESHOLD alert with sent = true and a matching Mailpit message. The record also contained an ML_ANOMALY alert with probability 0.792945, but the E2E script's formal pass condition was the threshold alert and email, not prediction quality.</w:t>
      </w:r>
    </w:p>
    <w:p>
      <w:pPr>
        <w:spacing w:before="40" w:after="120"/>
        <w:jc w:val="center"/>
      </w:pPr>
      <w:r>
        <w:rPr>
          <w:rFonts w:ascii="Times New Roman" w:hAnsi="Times New Roman" w:eastAsia="Times New Roman"/>
          <w:i/>
          <w:sz w:val="17"/>
        </w:rPr>
        <w:t>TABLE VI. Latest controlled E2E functional observations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Case</w:t>
            </w:r>
          </w:p>
        </w:tc>
        <w:tc>
          <w:tcPr>
            <w:tcW w:type="dxa" w:w="432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Predeclared / observed result</w:t>
            </w:r>
          </w:p>
        </w:tc>
        <w:tc>
          <w:tcPr>
            <w:tcW w:type="dxa" w:w="381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Interpretation and boundary</w:t>
            </w:r>
          </w:p>
        </w:tc>
      </w:tr>
      <w:tr>
        <w:tc>
          <w:tcPr>
            <w:tcW w:type="dxa" w:w="1944"/>
            <w:tcMar>
              <w:top w:w="80" w:type="dxa"/>
              <w:start w:w="80" w:type="dxa"/>
              <w:bottom w:w="80" w:type="dxa"/>
              <w:end w:w="80" w:type="dxa"/>
            </w:tcMar>
            <w:vAlign w:val="top"/>
          </w:tcPr>
          <w:p>
            <w:pPr>
              <w:spacing w:after="0"/>
              <w:jc w:val="left"/>
            </w:pPr>
            <w:r/>
            <w:r>
              <w:rPr>
                <w:rFonts w:ascii="Times New Roman" w:hAnsi="Times New Roman" w:eastAsia="Times New Roman"/>
                <w:sz w:val="15"/>
              </w:rPr>
              <w:t>Analytics path</w:t>
            </w:r>
          </w:p>
        </w:tc>
        <w:tc>
          <w:tcPr>
            <w:tcW w:type="dxa" w:w="4320"/>
            <w:tcMar>
              <w:top w:w="80" w:type="dxa"/>
              <w:start w:w="80" w:type="dxa"/>
              <w:bottom w:w="80" w:type="dxa"/>
              <w:end w:w="80" w:type="dxa"/>
            </w:tcMar>
            <w:vAlign w:val="top"/>
          </w:tcPr>
          <w:p>
            <w:pPr>
              <w:spacing w:after="0"/>
              <w:jc w:val="left"/>
            </w:pPr>
            <w:r/>
            <w:r>
              <w:rPr>
                <w:rFonts w:ascii="Times New Roman" w:hAnsi="Times New Roman" w:eastAsia="Times New Roman"/>
                <w:sz w:val="15"/>
              </w:rPr>
              <w:t>1.50 kWh; current estimate $0.18; daily rate 0.50 kWh; monthly projection 15.00 kWh and $11.80; 100% one-device ranking; 4.17 W standby estimate.</w:t>
            </w:r>
          </w:p>
        </w:tc>
        <w:tc>
          <w:tcPr>
            <w:tcW w:type="dxa" w:w="3816"/>
            <w:tcMar>
              <w:top w:w="80" w:type="dxa"/>
              <w:start w:w="80" w:type="dxa"/>
              <w:bottom w:w="80" w:type="dxa"/>
              <w:end w:w="80" w:type="dxa"/>
            </w:tcMar>
            <w:vAlign w:val="top"/>
          </w:tcPr>
          <w:p>
            <w:pPr>
              <w:spacing w:after="0"/>
              <w:jc w:val="left"/>
            </w:pPr>
            <w:r/>
            <w:r>
              <w:rPr>
                <w:rFonts w:ascii="Times New Roman" w:hAnsi="Times New Roman" w:eastAsia="Times New Roman"/>
                <w:sz w:val="15"/>
              </w:rPr>
              <w:t>Configured deterministic transformations passed for the synthetic case; not bill or meter ground truth.</w:t>
            </w:r>
          </w:p>
        </w:tc>
      </w:tr>
      <w:tr>
        <w:tc>
          <w:tcPr>
            <w:tcW w:type="dxa" w:w="1944"/>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Analytics availability</w:t>
            </w:r>
          </w:p>
        </w:tc>
        <w:tc>
          <w:tcPr>
            <w:tcW w:type="dxa" w:w="4320"/>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3.79 s observation after submissions.</w:t>
            </w:r>
          </w:p>
        </w:tc>
        <w:tc>
          <w:tcPr>
            <w:tcW w:type="dxa" w:w="381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Polling-bounded local functional observation; not an end-to-end latency benchmark.</w:t>
            </w:r>
          </w:p>
        </w:tc>
      </w:tr>
      <w:tr>
        <w:tc>
          <w:tcPr>
            <w:tcW w:type="dxa" w:w="1944"/>
            <w:tcMar>
              <w:top w:w="80" w:type="dxa"/>
              <w:start w:w="80" w:type="dxa"/>
              <w:bottom w:w="80" w:type="dxa"/>
              <w:end w:w="80" w:type="dxa"/>
            </w:tcMar>
            <w:vAlign w:val="top"/>
          </w:tcPr>
          <w:p>
            <w:pPr>
              <w:spacing w:after="0"/>
              <w:jc w:val="left"/>
            </w:pPr>
            <w:r/>
            <w:r>
              <w:rPr>
                <w:rFonts w:ascii="Times New Roman" w:hAnsi="Times New Roman" w:eastAsia="Times New Roman"/>
                <w:sz w:val="15"/>
              </w:rPr>
              <w:t>Threshold alert</w:t>
            </w:r>
          </w:p>
        </w:tc>
        <w:tc>
          <w:tcPr>
            <w:tcW w:type="dxa" w:w="4320"/>
            <w:tcMar>
              <w:top w:w="80" w:type="dxa"/>
              <w:start w:w="80" w:type="dxa"/>
              <w:bottom w:w="80" w:type="dxa"/>
              <w:end w:w="80" w:type="dxa"/>
            </w:tcMar>
            <w:vAlign w:val="top"/>
          </w:tcPr>
          <w:p>
            <w:pPr>
              <w:spacing w:after="0"/>
              <w:jc w:val="left"/>
            </w:pPr>
            <w:r/>
            <w:r>
              <w:rPr>
                <w:rFonts w:ascii="Times New Roman" w:hAnsi="Times New Roman" w:eastAsia="Times New Roman"/>
                <w:sz w:val="15"/>
              </w:rPr>
              <w:t>1.00 kWh &gt; 0.10 kWh; persisted THRESHOLD alert sent = true; matching Mailpit capture.</w:t>
            </w:r>
          </w:p>
        </w:tc>
        <w:tc>
          <w:tcPr>
            <w:tcW w:type="dxa" w:w="3816"/>
            <w:tcMar>
              <w:top w:w="80" w:type="dxa"/>
              <w:start w:w="80" w:type="dxa"/>
              <w:bottom w:w="80" w:type="dxa"/>
              <w:end w:w="80" w:type="dxa"/>
            </w:tcMar>
            <w:vAlign w:val="top"/>
          </w:tcPr>
          <w:p>
            <w:pPr>
              <w:spacing w:after="0"/>
              <w:jc w:val="left"/>
            </w:pPr>
            <w:r/>
            <w:r>
              <w:rPr>
                <w:rFonts w:ascii="Times New Roman" w:hAnsi="Times New Roman" w:eastAsia="Times New Roman"/>
                <w:sz w:val="15"/>
              </w:rPr>
              <w:t>Local threshold-to-mail-sink path was observed.</w:t>
            </w:r>
          </w:p>
        </w:tc>
      </w:tr>
      <w:tr>
        <w:tc>
          <w:tcPr>
            <w:tcW w:type="dxa" w:w="1944"/>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Alert observation</w:t>
            </w:r>
          </w:p>
        </w:tc>
        <w:tc>
          <w:tcPr>
            <w:tcW w:type="dxa" w:w="4320"/>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13.64 s observation.</w:t>
            </w:r>
          </w:p>
        </w:tc>
        <w:tc>
          <w:tcPr>
            <w:tcW w:type="dxa" w:w="381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Includes polling; not SMTP or service latency.</w:t>
            </w:r>
          </w:p>
        </w:tc>
      </w:tr>
      <w:tr>
        <w:tc>
          <w:tcPr>
            <w:tcW w:type="dxa" w:w="1944"/>
            <w:tcMar>
              <w:top w:w="80" w:type="dxa"/>
              <w:start w:w="80" w:type="dxa"/>
              <w:bottom w:w="80" w:type="dxa"/>
              <w:end w:w="80" w:type="dxa"/>
            </w:tcMar>
            <w:vAlign w:val="top"/>
          </w:tcPr>
          <w:p>
            <w:pPr>
              <w:spacing w:after="0"/>
              <w:jc w:val="left"/>
            </w:pPr>
            <w:r/>
            <w:r>
              <w:rPr>
                <w:rFonts w:ascii="Times New Roman" w:hAnsi="Times New Roman" w:eastAsia="Times New Roman"/>
                <w:sz w:val="15"/>
              </w:rPr>
              <w:t>Runtime ML observation</w:t>
            </w:r>
          </w:p>
        </w:tc>
        <w:tc>
          <w:tcPr>
            <w:tcW w:type="dxa" w:w="4320"/>
            <w:tcMar>
              <w:top w:w="80" w:type="dxa"/>
              <w:start w:w="80" w:type="dxa"/>
              <w:bottom w:w="80" w:type="dxa"/>
              <w:end w:w="80" w:type="dxa"/>
            </w:tcMar>
            <w:vAlign w:val="top"/>
          </w:tcPr>
          <w:p>
            <w:pPr>
              <w:spacing w:after="0"/>
              <w:jc w:val="left"/>
            </w:pPr>
            <w:r/>
            <w:r>
              <w:rPr>
                <w:rFonts w:ascii="Times New Roman" w:hAnsi="Times New Roman" w:eastAsia="Times New Roman"/>
                <w:sz w:val="15"/>
              </w:rPr>
              <w:t>One ML_ANOMALY record with probability 0.792945 and threshold 0.31.</w:t>
            </w:r>
          </w:p>
        </w:tc>
        <w:tc>
          <w:tcPr>
            <w:tcW w:type="dxa" w:w="3816"/>
            <w:tcMar>
              <w:top w:w="80" w:type="dxa"/>
              <w:start w:w="80" w:type="dxa"/>
              <w:bottom w:w="80" w:type="dxa"/>
              <w:end w:w="80" w:type="dxa"/>
            </w:tcMar>
            <w:vAlign w:val="top"/>
          </w:tcPr>
          <w:p>
            <w:pPr>
              <w:spacing w:after="0"/>
              <w:jc w:val="left"/>
            </w:pPr>
            <w:r/>
            <w:r>
              <w:rPr>
                <w:rFonts w:ascii="Times New Roman" w:hAnsi="Times New Roman" w:eastAsia="Times New Roman"/>
                <w:sz w:val="15"/>
              </w:rPr>
              <w:t>Integration observation only; not an E2E ML-quality assertion.</w:t>
            </w:r>
          </w:p>
        </w:tc>
      </w:tr>
    </w:tbl>
    <w:p>
      <w:pPr>
        <w:spacing w:after="20"/>
      </w:pPr>
    </w:p>
    <w:p>
      <w:pPr>
        <w:pStyle w:val="Heading2"/>
        <w:jc w:val="left"/>
        <w:keepNext/>
      </w:pPr>
      <w:r>
        <w:rPr>
          <w:rFonts w:ascii="Times New Roman" w:hAnsi="Times New Roman" w:eastAsia="Times New Roman"/>
          <w:b/>
          <w:color w:val="17365D"/>
          <w:sz w:val="21"/>
        </w:rPr>
        <w:t>C. Gateway Security and Dashboard Regression Validation</w:t>
      </w:r>
    </w:p>
    <w:p>
      <w:pPr>
        <w:keepLines/>
      </w:pPr>
      <w:r>
        <w:rPr>
          <w:rFonts w:ascii="Times New Roman" w:hAnsi="Times New Roman" w:eastAsia="Times New Roman"/>
          <w:i w:val="0"/>
        </w:rPr>
        <w:t>The local security suite passed all eight configured cases on 5 October 2026. These results show that the expected HTTP behavior was observed for the tested gateway boundary paths. They are not a penetration test, cryptographic assessment, privacy assessment, or evidence of production security.</w:t>
      </w:r>
    </w:p>
    <w:p>
      <w:pPr>
        <w:spacing w:before="40" w:after="120"/>
        <w:jc w:val="center"/>
      </w:pPr>
      <w:r>
        <w:rPr>
          <w:rFonts w:ascii="Times New Roman" w:hAnsi="Times New Roman" w:eastAsia="Times New Roman"/>
          <w:i/>
          <w:sz w:val="17"/>
        </w:rPr>
        <w:t>TABLE VII. Local gateway security validation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46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Control exercised</w:t>
            </w:r>
          </w:p>
        </w:tc>
        <w:tc>
          <w:tcPr>
            <w:tcW w:type="dxa" w:w="223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Expected / observed status</w:t>
            </w:r>
          </w:p>
        </w:tc>
        <w:tc>
          <w:tcPr>
            <w:tcW w:type="dxa" w:w="1728"/>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Result</w:t>
            </w:r>
          </w:p>
        </w:tc>
      </w:tr>
      <w:tr>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JWT-owned profile access</w:t>
            </w:r>
          </w:p>
        </w:tc>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200</w:t>
            </w:r>
          </w:p>
        </w:tc>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Missing JWT</w:t>
            </w:r>
          </w:p>
        </w:tc>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401</w:t>
            </w:r>
          </w:p>
        </w:tc>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Invalid JWT</w:t>
            </w:r>
          </w:p>
        </w:tc>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401</w:t>
            </w:r>
          </w:p>
        </w:tc>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Cross-user profile access</w:t>
            </w:r>
          </w:p>
        </w:tc>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403</w:t>
            </w:r>
          </w:p>
        </w:tc>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Cross-user device-list access</w:t>
            </w:r>
          </w:p>
        </w:tc>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403</w:t>
            </w:r>
          </w:p>
        </w:tc>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Administrator user listing</w:t>
            </w:r>
          </w:p>
        </w:tc>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200</w:t>
            </w:r>
          </w:p>
        </w:tc>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Machine-token telemetry ingestion</w:t>
            </w:r>
          </w:p>
        </w:tc>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6"/>
              </w:rPr>
              <w:t>201</w:t>
            </w:r>
          </w:p>
        </w:tc>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r>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Expired JWT</w:t>
            </w:r>
          </w:p>
        </w:tc>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401</w:t>
            </w:r>
          </w:p>
        </w:tc>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w:t>
            </w:r>
          </w:p>
        </w:tc>
      </w:tr>
    </w:tbl>
    <w:p>
      <w:pPr>
        <w:spacing w:after="20"/>
      </w:pPr>
    </w:p>
    <w:p>
      <w:pPr>
        <w:keepLines/>
      </w:pPr>
      <w:r>
        <w:rPr>
          <w:rFonts w:ascii="Times New Roman" w:hAnsi="Times New Roman" w:eastAsia="Times New Roman"/>
          <w:i w:val="0"/>
        </w:rPr>
        <w:t>After a reactive gateway response-body correction, four focused regression tests passed and eight protected dashboard routes returned non-empty HTTP 200 JSON responses in the dated local runtime validation. Historical broader service tests (28 Java tests with 3 skipped) and 3 ML API tests are reported as earlier, separate runs; they are not combined into a falsely contemporaneous total.</w:t>
      </w:r>
    </w:p>
    <w:p>
      <w:pPr>
        <w:pStyle w:val="Heading2"/>
        <w:jc w:val="left"/>
        <w:keepNext/>
      </w:pPr>
      <w:r>
        <w:rPr>
          <w:rFonts w:ascii="Times New Roman" w:hAnsi="Times New Roman" w:eastAsia="Times New Roman"/>
          <w:b/>
          <w:color w:val="17365D"/>
          <w:sz w:val="21"/>
        </w:rPr>
        <w:t>D. Alert Deduplication and Observability</w:t>
      </w:r>
    </w:p>
    <w:p>
      <w:pPr>
        <w:keepLines/>
      </w:pPr>
      <w:r>
        <w:rPr>
          <w:rFonts w:ascii="Times New Roman" w:hAnsi="Times New Roman" w:eastAsia="Times New Roman"/>
          <w:i w:val="0"/>
        </w:rPr>
        <w:t>In the duplicate-event validation, two identical submissions were accepted by ingestion, one ML_ANOMALY alert was persisted, and an explicit suppression log was observed inside the 15-minute window. Unit tests also covered first-alert creation, inside-window suppression, post-window creation, and independent deduplication keys. This supports correct behavior for the tested scenario, but it does not quantify duplicate reduction under arbitrary retries, partitions, or concurrent consumers.</w:t>
      </w:r>
    </w:p>
    <w:p>
      <w:pPr>
        <w:keepLines/>
      </w:pPr>
      <w:r>
        <w:rPr>
          <w:rFonts w:ascii="Times New Roman" w:hAnsi="Times New Roman" w:eastAsia="Times New Roman"/>
          <w:i w:val="0"/>
        </w:rPr>
        <w:t>The final Prometheus snapshot reported eight active targets, each with health up, and local health checks returned HTTP 200 for the frontend, gateway health endpoint, Prometheus readiness endpoint, Grafana health endpoint, and Mailpit API. Cumulative suppression counters existed for ML_ANOMALY and THRESHOLD alert types. No derived alert rate, Kafka lag, distributed trace, or measured ML latency is reported because such evidence was not retained.</w:t>
      </w:r>
    </w:p>
    <w:p>
      <w:pPr>
        <w:pStyle w:val="Heading2"/>
        <w:jc w:val="left"/>
        <w:keepNext/>
      </w:pPr>
      <w:r>
        <w:rPr>
          <w:rFonts w:ascii="Times New Roman" w:hAnsi="Times New Roman" w:eastAsia="Times New Roman"/>
          <w:b/>
          <w:color w:val="17365D"/>
          <w:sz w:val="21"/>
        </w:rPr>
        <w:t>E. Local Load and Controlled Fault Results</w:t>
      </w:r>
    </w:p>
    <w:p>
      <w:pPr>
        <w:spacing w:before="40" w:after="120"/>
        <w:jc w:val="center"/>
      </w:pPr>
      <w:r>
        <w:rPr>
          <w:rFonts w:ascii="Times New Roman" w:hAnsi="Times New Roman" w:eastAsia="Times New Roman"/>
          <w:i/>
          <w:sz w:val="17"/>
        </w:rPr>
        <w:t>TABLE VIII. Local load and controlled fault observations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3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Experiment</w:t>
            </w:r>
          </w:p>
        </w:tc>
        <w:tc>
          <w:tcPr>
            <w:tcW w:type="dxa" w:w="4464"/>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Observed result</w:t>
            </w:r>
          </w:p>
        </w:tc>
        <w:tc>
          <w:tcPr>
            <w:tcW w:type="dxa" w:w="367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Evidence-bound interpretation</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5"/>
              </w:rPr>
              <w:t>k6 ingestion scenario</w:t>
            </w:r>
          </w:p>
        </w:tc>
        <w:tc>
          <w:tcPr>
            <w:tcW w:type="dxa" w:w="4464"/>
            <w:tcMar>
              <w:top w:w="80" w:type="dxa"/>
              <w:start w:w="80" w:type="dxa"/>
              <w:bottom w:w="80" w:type="dxa"/>
              <w:end w:w="80" w:type="dxa"/>
            </w:tcMar>
            <w:vAlign w:val="top"/>
          </w:tcPr>
          <w:p>
            <w:pPr>
              <w:spacing w:after="0"/>
              <w:jc w:val="left"/>
            </w:pPr>
            <w:r/>
            <w:r>
              <w:rPr>
                <w:rFonts w:ascii="Times New Roman" w:hAnsi="Times New Roman" w:eastAsia="Times New Roman"/>
                <w:sz w:val="15"/>
              </w:rPr>
              <w:t>450/450 acceptance checks; 0.00% HTTP failure; mean 39.44 ms; median 24.85 ms; p90 74.78 ms; p95 109.77 ms; maximum 503.36 ms; mean 4.281 requests/s.</w:t>
            </w:r>
          </w:p>
        </w:tc>
        <w:tc>
          <w:tcPr>
            <w:tcW w:type="dxa" w:w="3672"/>
            <w:tcMar>
              <w:top w:w="80" w:type="dxa"/>
              <w:start w:w="80" w:type="dxa"/>
              <w:bottom w:w="80" w:type="dxa"/>
              <w:end w:w="80" w:type="dxa"/>
            </w:tcMar>
            <w:vAlign w:val="top"/>
          </w:tcPr>
          <w:p>
            <w:pPr>
              <w:spacing w:after="0"/>
              <w:jc w:val="left"/>
            </w:pPr>
            <w:r/>
            <w:r>
              <w:rPr>
                <w:rFonts w:ascii="Times New Roman" w:hAnsi="Times New Roman" w:eastAsia="Times New Roman"/>
                <w:sz w:val="15"/>
              </w:rPr>
              <w:t>Single-host local validation under the recorded ramp to 10 requests/s; not a production capacity or distributed scalability result.</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Mailpit service-stop scenario</w:t>
            </w:r>
          </w:p>
        </w:tc>
        <w:tc>
          <w:tcPr>
            <w:tcW w:type="dxa" w:w="4464"/>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Gateway ingestion returned HTTP 201 while Mailpit was stopped; the harness later restored the container and recorded recovered = true.</w:t>
            </w:r>
          </w:p>
        </w:tc>
        <w:tc>
          <w:tcPr>
            <w:tcW w:type="dxa" w:w="3672"/>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Shows recorded ingress availability and manual restoration only; it does not establish notification queuing, automatic recovery, or eventual mail delivery.</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5"/>
              </w:rPr>
              <w:t>ML-service stop scenario</w:t>
            </w:r>
          </w:p>
        </w:tc>
        <w:tc>
          <w:tcPr>
            <w:tcW w:type="dxa" w:w="4464"/>
            <w:tcMar>
              <w:top w:w="80" w:type="dxa"/>
              <w:start w:w="80" w:type="dxa"/>
              <w:bottom w:w="80" w:type="dxa"/>
              <w:end w:w="80" w:type="dxa"/>
            </w:tcMar>
            <w:vAlign w:val="top"/>
          </w:tcPr>
          <w:p>
            <w:pPr>
              <w:spacing w:after="0"/>
              <w:jc w:val="left"/>
            </w:pPr>
            <w:r/>
            <w:r>
              <w:rPr>
                <w:rFonts w:ascii="Times New Roman" w:hAnsi="Times New Roman" w:eastAsia="Times New Roman"/>
                <w:sz w:val="15"/>
              </w:rPr>
              <w:t>Gateway ingestion returned HTTP 201 while the ML service was stopped; the harness later restored the container and recorded recovered = true.</w:t>
            </w:r>
          </w:p>
        </w:tc>
        <w:tc>
          <w:tcPr>
            <w:tcW w:type="dxa" w:w="3672"/>
            <w:tcMar>
              <w:top w:w="80" w:type="dxa"/>
              <w:start w:w="80" w:type="dxa"/>
              <w:bottom w:w="80" w:type="dxa"/>
              <w:end w:w="80" w:type="dxa"/>
            </w:tcMar>
            <w:vAlign w:val="top"/>
          </w:tcPr>
          <w:p>
            <w:pPr>
              <w:spacing w:after="0"/>
              <w:jc w:val="left"/>
            </w:pPr>
            <w:r/>
            <w:r>
              <w:rPr>
                <w:rFonts w:ascii="Times New Roman" w:hAnsi="Times New Roman" w:eastAsia="Times New Roman"/>
                <w:sz w:val="15"/>
              </w:rPr>
              <w:t>Shows recorded ingress availability and manual restoration only; it does not establish replay, post-restart inference, or alert delivery.</w:t>
            </w:r>
          </w:p>
        </w:tc>
      </w:tr>
    </w:tbl>
    <w:p>
      <w:pPr>
        <w:spacing w:after="20"/>
      </w:pPr>
    </w:p>
    <w:p>
      <w:pPr>
        <w:keepLines/>
      </w:pPr>
      <w:r>
        <w:rPr>
          <w:rFonts w:ascii="Times New Roman" w:hAnsi="Times New Roman" w:eastAsia="Times New Roman"/>
          <w:i w:val="0"/>
        </w:rPr>
        <w:t>The k6 result demonstrates that the gateway accepted the recorded workload in the specified local configuration. It cannot establish multi-node scalability, cloud performance, resource efficiency, or behavior under a broker/database failure. Similarly, the two controlled service-stop scenarios show that synchronous gateway ingestion did not fail in the recorded cases; they do not demonstrate comprehensive fault tolerance.</w:t>
      </w:r>
    </w:p>
    <w:p>
      <w:pPr>
        <w:pStyle w:val="Heading2"/>
        <w:jc w:val="left"/>
        <w:keepNext/>
      </w:pPr>
      <w:r>
        <w:rPr>
          <w:rFonts w:ascii="Times New Roman" w:hAnsi="Times New Roman" w:eastAsia="Times New Roman"/>
          <w:b/>
          <w:color w:val="17365D"/>
          <w:sz w:val="21"/>
        </w:rPr>
        <w:t>F. Discussion of the Revised Contribution</w:t>
      </w:r>
    </w:p>
    <w:p>
      <w:pPr>
        <w:keepLines/>
      </w:pPr>
      <w:r>
        <w:rPr>
          <w:rFonts w:ascii="Times New Roman" w:hAnsi="Times New Roman" w:eastAsia="Times New Roman"/>
          <w:i w:val="0"/>
        </w:rPr>
        <w:t>The principal contribution is an implementation-level, evidence-bounded integration: event-driven telemetry processing with time-series persistence; deterministic user-facing analysis; a separately evaluated supervised anomaly classifier; gateway authentication and ownership controls; deduplicated alert handling; and local operational checks. The model comparison establishes that the selected Random Forest performed better than the baseline on the retained test interval, while the E2E run establishes a synthetic integration path rather than generalizable ML efficacy. The security, k6, and fault results support localized claims about the executed cases only.</w:t>
      </w:r>
    </w:p>
    <w:p>
      <w:pPr>
        <w:pStyle w:val="Heading1"/>
        <w:jc w:val="left"/>
        <w:keepNext/>
      </w:pPr>
      <w:r>
        <w:rPr>
          <w:rFonts w:ascii="Times New Roman" w:hAnsi="Times New Roman" w:eastAsia="Times New Roman"/>
          <w:b/>
          <w:color w:val="17365D"/>
          <w:sz w:val="24"/>
        </w:rPr>
        <w:t>VI. LIMITATIONS AND FUTURE WORK</w:t>
      </w:r>
    </w:p>
    <w:p>
      <w:pPr>
        <w:keepLines/>
      </w:pPr>
      <w:r>
        <w:rPr>
          <w:rFonts w:ascii="Times New Roman" w:hAnsi="Times New Roman" w:eastAsia="Times New Roman"/>
          <w:i w:val="0"/>
        </w:rPr>
        <w:t>Several limitations remain. First, Wokwi values and controlled REST inputs are synthetic and have not been calibrated against a physical energy meter. The demonstration tariff, ranking logic, and standby heuristic have not been validated against utility bills, device-level instrumentation, or user behavior. Second, smart_meter_data.csv has no documented source, licence, household identity, or label-generation procedure. Its consumption scale and units do not align demonstrably with all Wokwi modes, and runtime imputation of absent context limits interpretability. Third, all runtime work was performed on a single local Docker host using one load scenario and a short evidence window. Mailpit represents local message capture rather than external delivery.</w:t>
      </w:r>
    </w:p>
    <w:p>
      <w:pPr>
        <w:keepLines/>
      </w:pPr>
      <w:r>
        <w:rPr>
          <w:rFonts w:ascii="Times New Roman" w:hAnsi="Times New Roman" w:eastAsia="Times New Roman"/>
          <w:i w:val="0"/>
        </w:rPr>
        <w:t>Future research should obtain consented, calibrated, multi-household energy data with documented labels and provenance; align live measurement units and contextual features with model training; assess temporal drift and external generalization; validate forecasts and tariff calculations against bills; and investigate appliance-level disaggregation. Systems work should evaluate multi-node deployment, durable retry/DLQ behavior, broker/database failures, longer-duration monitoring, stronger device provisioning, TLS/cloud configurations, distributed tracing, and repeated performance experiments with confidence intervals.</w:t>
      </w:r>
    </w:p>
    <w:p>
      <w:pPr>
        <w:pStyle w:val="Heading1"/>
        <w:jc w:val="left"/>
        <w:keepNext/>
      </w:pPr>
      <w:r>
        <w:rPr>
          <w:rFonts w:ascii="Times New Roman" w:hAnsi="Times New Roman" w:eastAsia="Times New Roman"/>
          <w:b/>
          <w:color w:val="17365D"/>
          <w:sz w:val="24"/>
        </w:rPr>
        <w:t>VII. CONCLUSION</w:t>
      </w:r>
    </w:p>
    <w:p>
      <w:pPr>
        <w:keepLines/>
      </w:pPr>
      <w:r>
        <w:rPr>
          <w:rFonts w:ascii="Times New Roman" w:hAnsi="Times New Roman" w:eastAsia="Times New Roman"/>
          <w:i w:val="0"/>
        </w:rPr>
        <w:t>This paper presents the final, evidence-based form of a Home Energy Tracker built as an event-driven local microservices system. The implementation integrates Wokwi-compatible telemetry, gateway JWT and device-token controls, Kafka, InfluxDB, MySQL, deterministic insights, a persisted Random Forest anomaly service, deduplicated alerts, and Prometheus/Grafana monitoring. The retained evidence includes a chronological offline ML evaluation, eight expected security outcomes, a controlled alert-deduplication case, an eight-target Prometheus snapshot, a 450-request local ingestion scenario, two controlled service-stop records, and a successful synthetic end-to-end workflow with local Mailpit capture. These results support claims of local integration and bounded evaluation. They do not establish physical-meter accuracy, utility-bill validity, external ML generalization, production security, production capacity, or comprehensive resilience. The most defensible next step is therefore field-quality data and evaluation rather than stronger claims from the present local prototype.</w:t>
      </w:r>
    </w:p>
    <w:p>
      <w:pPr>
        <w:pStyle w:val="Heading1"/>
        <w:jc w:val="left"/>
        <w:keepNext/>
      </w:pPr>
      <w:r>
        <w:rPr>
          <w:rFonts w:ascii="Times New Roman" w:hAnsi="Times New Roman" w:eastAsia="Times New Roman"/>
          <w:b/>
          <w:color w:val="17365D"/>
          <w:sz w:val="24"/>
        </w:rPr>
        <w:t>REFERENCES</w:t>
      </w:r>
    </w:p>
    <w:p>
      <w:pPr>
        <w:spacing w:after="60"/>
        <w:ind w:left="255" w:hanging="255"/>
      </w:pPr>
      <w:r>
        <w:rPr>
          <w:rFonts w:ascii="Times New Roman" w:hAnsi="Times New Roman" w:eastAsia="Times New Roman"/>
          <w:sz w:val="17"/>
        </w:rPr>
        <w:t>[1] A. Shuaibu, S. U. Haq, B. Almadani, F. Aliyu, and E. Al-Nahari, "Smart Metering Meets AI: Real-Time Appliance Monitoring and Anomaly Detection Over DDS Middleware," IEEE Transactions on Industry Applications, 2026, doi: 10.1109/TIA.2025.3608687.</w:t>
      </w:r>
    </w:p>
    <w:p>
      <w:pPr>
        <w:spacing w:after="60"/>
        <w:ind w:left="255" w:hanging="255"/>
      </w:pPr>
      <w:r>
        <w:rPr>
          <w:rFonts w:ascii="Times New Roman" w:hAnsi="Times New Roman" w:eastAsia="Times New Roman"/>
          <w:sz w:val="17"/>
        </w:rPr>
        <w:t>[2] I. Núñez, C. A. Rovetto, E. Cruz, A. Smolarz, D. H. Concepción, and E. Cano, "Design of a microservices-based architecture for residential energy efficiency monitoring," International Journal of Electronics and Telecommunications, 2024, doi: 10.24425/ijet.2024.152511.</w:t>
      </w:r>
    </w:p>
    <w:p>
      <w:pPr>
        <w:spacing w:after="60"/>
        <w:ind w:left="255" w:hanging="255"/>
      </w:pPr>
      <w:r>
        <w:rPr>
          <w:rFonts w:ascii="Times New Roman" w:hAnsi="Times New Roman" w:eastAsia="Times New Roman"/>
          <w:sz w:val="17"/>
        </w:rPr>
        <w:t>[3] W. Agustiarmi et al., "Real-Time IoT-based Energy Power Consumption Monitoring System for Smart Homes," International Journal on Advanced Science, Engineering and Information Technology, 2025, doi: 10.18517/ijaseit.15.5.20918.</w:t>
      </w:r>
    </w:p>
    <w:p>
      <w:pPr>
        <w:spacing w:after="60"/>
        <w:ind w:left="255" w:hanging="255"/>
      </w:pPr>
      <w:r>
        <w:rPr>
          <w:rFonts w:ascii="Times New Roman" w:hAnsi="Times New Roman" w:eastAsia="Times New Roman"/>
          <w:sz w:val="17"/>
        </w:rPr>
        <w:t>[4] M. Islam, N. Jobaida, M. S. Hossain, M. R. Uddin, and M. Hasan, "IoT-Based Smart Energy Monitoring and Energy Demand Response System," 2024 IEEE 3rd International Conference on Electrical Power and Energy Systems (ICEPES), 2024, doi: 10.1109/ICEPES60647.2024.10653605.</w:t>
      </w:r>
    </w:p>
    <w:p>
      <w:pPr>
        <w:spacing w:after="60"/>
        <w:ind w:left="255" w:hanging="255"/>
      </w:pPr>
      <w:r>
        <w:rPr>
          <w:rFonts w:ascii="Times New Roman" w:hAnsi="Times New Roman" w:eastAsia="Times New Roman"/>
          <w:sz w:val="17"/>
        </w:rP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pPr>
        <w:spacing w:after="60"/>
        <w:ind w:left="255" w:hanging="255"/>
      </w:pPr>
      <w:r>
        <w:rPr>
          <w:rFonts w:ascii="Times New Roman" w:hAnsi="Times New Roman" w:eastAsia="Times New Roman"/>
          <w:sz w:val="17"/>
        </w:rPr>
        <w:t>[6] T. B. D. Sousa and R. Rabelo, "Smart Metering Enabled by the Internet of Things for Monitoring Residential Energy Consumption and Power Quality," IEEE Access, 2025, doi: 10.1109/ACCESS.2025.3627191.</w:t>
      </w:r>
    </w:p>
    <w:p>
      <w:pPr>
        <w:spacing w:after="60"/>
        <w:ind w:left="255" w:hanging="255"/>
      </w:pPr>
      <w:r>
        <w:rPr>
          <w:rFonts w:ascii="Times New Roman" w:hAnsi="Times New Roman" w:eastAsia="Times New Roman"/>
          <w:sz w:val="17"/>
        </w:rPr>
        <w:t>[7] B. Jyothi et al., "Empowering energy management: anomaly detection in smart meter data for proactive consumption control," Bulletin of Electrical Engineering and Informatics, 2026, doi: 10.11591/eei.v15i3.10957.</w:t>
      </w:r>
    </w:p>
    <w:p>
      <w:pPr>
        <w:spacing w:after="60"/>
        <w:ind w:left="255" w:hanging="255"/>
      </w:pPr>
      <w:r>
        <w:rPr>
          <w:rFonts w:ascii="Times New Roman" w:hAnsi="Times New Roman" w:eastAsia="Times New Roman"/>
          <w:sz w:val="17"/>
        </w:rPr>
        <w:t>[8] K. Kulkarni, "Anomaly Detection in Smart Electric Meters for Detecting Faults and Misuse of Electric Energy Consumption," International Journal of Scientific Research in Engineering and Management, 2024, doi: 10.55041/ijsrem34689.</w:t>
      </w:r>
    </w:p>
    <w:p>
      <w:pPr>
        <w:spacing w:after="60"/>
        <w:ind w:left="255" w:hanging="255"/>
      </w:pPr>
      <w:r>
        <w:rPr>
          <w:rFonts w:ascii="Times New Roman" w:hAnsi="Times New Roman" w:eastAsia="Times New Roman"/>
          <w:sz w:val="17"/>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pPr>
        <w:spacing w:after="60"/>
        <w:ind w:left="255" w:hanging="255"/>
      </w:pPr>
      <w:r>
        <w:rPr>
          <w:rFonts w:ascii="Times New Roman" w:hAnsi="Times New Roman" w:eastAsia="Times New Roman"/>
          <w:sz w:val="17"/>
        </w:rPr>
        <w:t>[10] Ó. Hernández et al., "Detection of Anomalies in Daily Activities Using Data from Smart Meters," Sensors, vol. 24, no. 2, 2024, doi: 10.3390/s24020515.</w:t>
      </w:r>
    </w:p>
    <w:p>
      <w:pPr>
        <w:spacing w:after="60"/>
        <w:ind w:left="255" w:hanging="255"/>
      </w:pPr>
      <w:r>
        <w:rPr>
          <w:rFonts w:ascii="Times New Roman" w:hAnsi="Times New Roman" w:eastAsia="Times New Roman"/>
          <w:sz w:val="17"/>
        </w:rPr>
        <w:t>[11] S. Maitra, S. Kundu, and A. Shankar, "A Real-time Anomaly Detection Using Convolutional Autoencoder with Dynamic Threshold," arXiv, 2024, doi: 10.48550/arXiv.2404.04311.</w:t>
      </w:r>
    </w:p>
    <w:p>
      <w:pPr>
        <w:spacing w:after="60"/>
        <w:ind w:left="255" w:hanging="255"/>
      </w:pPr>
      <w:r>
        <w:rPr>
          <w:rFonts w:ascii="Times New Roman" w:hAnsi="Times New Roman" w:eastAsia="Times New Roman"/>
          <w:sz w:val="17"/>
        </w:rPr>
        <w:t>[12] A. F. S. Veloso, J. Reis, and R. Rabelo, "A Microservices-Based Solution with Hybrid Communication for Energy Management in Smart Grid Environments," Sensors, 2026, doi: 10.3390/s26051714.</w:t>
      </w:r>
    </w:p>
    <w:p>
      <w:pPr>
        <w:spacing w:after="60"/>
        <w:ind w:left="255" w:hanging="255"/>
      </w:pPr>
      <w:r>
        <w:rPr>
          <w:rFonts w:ascii="Times New Roman" w:hAnsi="Times New Roman" w:eastAsia="Times New Roman"/>
          <w:sz w:val="17"/>
        </w:rPr>
        <w:t>[13] D. K, "Smart Energy Monitoring System," International Journal of Innovative Research in Information Security, 2025, doi: 10.26562/ijiris.2025.v1109.15.</w:t>
      </w:r>
    </w:p>
    <w:p>
      <w:pPr>
        <w:spacing w:after="60"/>
        <w:ind w:left="255" w:hanging="255"/>
      </w:pPr>
      <w:r>
        <w:rPr>
          <w:rFonts w:ascii="Times New Roman" w:hAnsi="Times New Roman" w:eastAsia="Times New Roman"/>
          <w:sz w:val="17"/>
        </w:rPr>
        <w:t>[14] L. L. Motta, W. S. Alvarez, H. R. Carvajal, F. B. Neto, E. D. Lima, and L. F. P. Meloni, "A cloud architecture for home energy management systems: a conceptual model," Energy Informatics, 2025, doi: 10.1186/s42162-025-00599-1.</w:t>
      </w:r>
    </w:p>
    <w:p>
      <w:pPr>
        <w:spacing w:after="60"/>
        <w:ind w:left="255" w:hanging="255"/>
      </w:pPr>
      <w:r>
        <w:rPr>
          <w:rFonts w:ascii="Times New Roman" w:hAnsi="Times New Roman" w:eastAsia="Times New Roman"/>
          <w:sz w:val="17"/>
        </w:rPr>
        <w:t>[15] J. Liu and Y. Hsiao, "Smart plug-based home energy management with IoT and anomaly detection," Journal of the Chinese Institute of Engineers, 2025, doi: 10.1080/02533839.2025.2557233.</w:t>
      </w:r>
    </w:p>
    <w:p>
      <w:pPr>
        <w:spacing w:after="60"/>
        <w:ind w:left="255" w:hanging="255"/>
      </w:pPr>
      <w:r>
        <w:rPr>
          <w:rFonts w:ascii="Times New Roman" w:hAnsi="Times New Roman" w:eastAsia="Times New Roman"/>
          <w:sz w:val="17"/>
        </w:rPr>
        <w:t>[16] K. M. W. Hidayat and M. G. Al-Faris, "IoT-Based Electrical Power Consumption Monitoring System in Households Using ESP32 and PZEM-004T," Brilliance: Research of Artificial Intelligence, 2025, doi: 10.47709/brilliance.v5i2.6368.</w:t>
      </w:r>
    </w:p>
    <w:p>
      <w:pPr>
        <w:spacing w:after="60"/>
        <w:ind w:left="255" w:hanging="255"/>
      </w:pPr>
      <w:r>
        <w:rPr>
          <w:rFonts w:ascii="Times New Roman" w:hAnsi="Times New Roman" w:eastAsia="Times New Roman"/>
          <w:sz w:val="17"/>
        </w:rPr>
        <w:t>[17] S. Sirisumrannukul, T. Intaraumnauy, and N. Piamvilai, "Optimal control of cooling management system for energy conservation in smart home with ANNs-PSO data analytics microservice platform," Heliyon, 2024, doi: 10.1016/j.heliyon.2024.e26937.</w:t>
      </w:r>
    </w:p>
    <w:p>
      <w:pPr>
        <w:spacing w:after="60"/>
        <w:ind w:left="255" w:hanging="255"/>
      </w:pPr>
      <w:r>
        <w:rPr>
          <w:rFonts w:ascii="Times New Roman" w:hAnsi="Times New Roman" w:eastAsia="Times New Roman"/>
          <w:sz w:val="17"/>
        </w:rPr>
        <w:t>[18] M. S. Hossain and M. Hassan, "Smart Energy Meter with Real Time Monitoring System," 2024 13th International Conference on Electrical and Computer Engineering (ICECE), 2024, doi: 10.1109/ICECE64886.2024.11024970.</w:t>
      </w:r>
    </w:p>
    <w:p>
      <w:pPr>
        <w:spacing w:after="60"/>
        <w:ind w:left="255" w:hanging="255"/>
      </w:pPr>
      <w:r>
        <w:rPr>
          <w:rFonts w:ascii="Times New Roman" w:hAnsi="Times New Roman" w:eastAsia="Times New Roman"/>
          <w:sz w:val="17"/>
        </w:rPr>
        <w:t>[19] D. G. S, T. Gangakhedkar, A. P, A. Ashwija, and C. B. T. Rambapuri, "IOT-Enabled Electrical Consumption Tracking for Intelligent Energy Saving," International Journal of Scientific Research in Engineering and Management, 2025, doi: 10.55041/ijsrem54847.</w:t>
      </w:r>
    </w:p>
    <w:p>
      <w:pPr>
        <w:spacing w:after="60"/>
        <w:ind w:left="255" w:hanging="255"/>
      </w:pPr>
      <w:r>
        <w:rPr>
          <w:rFonts w:ascii="Times New Roman" w:hAnsi="Times New Roman" w:eastAsia="Times New Roman"/>
          <w:sz w:val="17"/>
        </w:rPr>
        <w:t>[20] Y. Zhu and M. Yue, "Design of an IoT-Based Smart City Energy Management System," 2025 4th International Conference on Green Energy and Power Systems (ICGEPS), 2025, doi: 10.1109/ICGEPS65133.2025.11034388.</w:t>
      </w:r>
    </w:p>
    <w:p>
      <w:pPr>
        <w:spacing w:after="60"/>
        <w:ind w:left="255" w:hanging="255"/>
      </w:pPr>
      <w:r>
        <w:rPr>
          <w:rFonts w:ascii="Times New Roman" w:hAnsi="Times New Roman" w:eastAsia="Times New Roman"/>
          <w:sz w:val="17"/>
        </w:rPr>
        <w:t>[21] S. Susikala, R. K, J. K, S. K, and Y. M, "IoT-Based Smart Electricity Monitoring System with Real-Time Alerts and Remote Control," International Journal of Engineering &amp; Extended Technologies Research, 2026, doi: 10.15662/ijeetr.2026.0802420.</w:t>
      </w:r>
    </w:p>
    <w:p>
      <w:pPr>
        <w:spacing w:after="60"/>
        <w:ind w:left="255" w:hanging="255"/>
      </w:pPr>
      <w:r>
        <w:rPr>
          <w:rFonts w:ascii="Times New Roman" w:hAnsi="Times New Roman" w:eastAsia="Times New Roman"/>
          <w:sz w:val="17"/>
        </w:rPr>
        <w:t>[22] C. S. Sinha, "Smart Meter-Based Power Consumption Detection System: An Integrated Approach Using LSTM Networks and Real-Time Web Interface," International Journal For Multidisciplinary Research, 2025, doi: 10.36948/ijfmr.2025.v07i01.37948.</w:t>
      </w:r>
    </w:p>
    <w:p>
      <w:pPr>
        <w:spacing w:after="60"/>
        <w:ind w:left="255" w:hanging="255"/>
      </w:pPr>
      <w:r>
        <w:rPr>
          <w:rFonts w:ascii="Times New Roman" w:hAnsi="Times New Roman" w:eastAsia="Times New Roman"/>
          <w:sz w:val="17"/>
        </w:rPr>
        <w:t>[23] F. Dinmohammadi, A. M. Farook, and M. Shafiee, "Improving Energy Efficiency in Buildings with an IoT-Based Smart Monitoring System," Energies, 2025, doi: 10.3390/en18051269.</w:t>
      </w:r>
    </w:p>
    <w:p>
      <w:pPr>
        <w:spacing w:after="60"/>
        <w:ind w:left="255" w:hanging="255"/>
      </w:pPr>
      <w:r>
        <w:rPr>
          <w:rFonts w:ascii="Times New Roman" w:hAnsi="Times New Roman" w:eastAsia="Times New Roman"/>
          <w:sz w:val="17"/>
        </w:rPr>
        <w:t>[24] S. Son, S. Ko, H. Lee, S. Lee, and B. Lee, "SIMA: Scalable IoT Microservice Architecture With Users and Things Joint Load Balancing," IEEE Internet of Things Journal, 2024, doi: 10.1109/JIOT.2023.3317430.</w:t>
      </w:r>
    </w:p>
    <w:sectPr w:rsidR="00FC693F" w:rsidRPr="0006063C" w:rsidSect="00034616">
      <w:headerReference w:type="default" r:id="rId9"/>
      <w:footerReference w:type="default" r:id="rId10"/>
      <w:pgSz w:w="12240" w:h="15840"/>
      <w:pgMar w:top="935"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6"/>
      </w:rPr>
      <w:t>Local implementation and experimental evidence reviewed: 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B7C9DC"/>
      </w:pBdr>
    </w:pPr>
    <w:r>
      <w:rPr>
        <w:rFonts w:ascii="Times New Roman" w:hAnsi="Times New Roman" w:eastAsia="Times New Roman"/>
        <w:color w:val="666666"/>
        <w:sz w:val="16"/>
      </w:rPr>
      <w:t>Home Energy Tracker — Evidence-Based Final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eastAsia="Times New Roman"/>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