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keepNext/>
        <w:widowControl/>
        <w:spacing w:after="160" w:before="120" w:line="240" w:lineRule="auto"/>
        <w:jc w:val="center"/>
      </w:pPr>
      <w:r>
        <w:rPr>
          <w:rFonts w:ascii="Times New Roman" w:hAnsi="Times New Roman" w:eastAsia="Times New Roman"/>
          <w:b/>
          <w:i w:val="0"/>
          <w:color w:val="000000"/>
          <w:sz w:val="32"/>
        </w:rPr>
        <w:t>A Microservices-Based Home Energy Tracker for Real-Time Monitoring, Intelligent Alerting, and AI-Driven Energy Insights</w:t>
      </w:r>
    </w:p>
    <w:p>
      <w:pPr>
        <w:widowControl/>
        <w:spacing w:after="60" w:before="0" w:line="240" w:lineRule="auto"/>
        <w:jc w:val="center"/>
      </w:pPr>
      <w:r>
        <w:rPr>
          <w:rFonts w:ascii="Times New Roman" w:hAnsi="Times New Roman" w:eastAsia="Times New Roman"/>
          <w:b/>
          <w:i w:val="0"/>
          <w:color w:val="000000"/>
          <w:sz w:val="22"/>
        </w:rPr>
        <w:t>Authors</w:t>
      </w:r>
    </w:p>
    <w:p>
      <w:pPr>
        <w:widowControl/>
        <w:spacing w:after="60" w:before="0" w:line="240" w:lineRule="auto"/>
        <w:jc w:val="center"/>
      </w:pPr>
      <w:r>
        <w:rPr>
          <w:rFonts w:ascii="Times New Roman" w:hAnsi="Times New Roman" w:eastAsia="Times New Roman"/>
          <w:b w:val="0"/>
          <w:i w:val="0"/>
          <w:color w:val="000000"/>
          <w:sz w:val="22"/>
        </w:rPr>
        <w:t>Rohit Shrivastava | Registration Number: 23BCE0052</w:t>
      </w:r>
    </w:p>
    <w:p>
      <w:pPr>
        <w:widowControl/>
        <w:spacing w:after="60" w:before="0" w:line="240" w:lineRule="auto"/>
        <w:jc w:val="center"/>
      </w:pPr>
      <w:r>
        <w:rPr>
          <w:rFonts w:ascii="Times New Roman" w:hAnsi="Times New Roman" w:eastAsia="Times New Roman"/>
          <w:b w:val="0"/>
          <w:i w:val="0"/>
          <w:color w:val="000000"/>
          <w:sz w:val="22"/>
        </w:rPr>
        <w:t>Anshika Rai | Registration Number: 23BCE0080</w:t>
      </w:r>
    </w:p>
    <w:p>
      <w:pPr>
        <w:widowControl/>
        <w:spacing w:after="60" w:before="0" w:line="240" w:lineRule="auto"/>
        <w:jc w:val="center"/>
      </w:pPr>
      <w:r>
        <w:rPr>
          <w:rFonts w:ascii="Times New Roman" w:hAnsi="Times New Roman" w:eastAsia="Times New Roman"/>
          <w:b w:val="0"/>
          <w:i w:val="0"/>
          <w:color w:val="000000"/>
          <w:sz w:val="22"/>
        </w:rPr>
        <w:t>Harsh Gupta | Registration Number: 23BCE0050</w:t>
      </w:r>
    </w:p>
    <w:p>
      <w:pPr>
        <w:widowControl/>
        <w:spacing w:after="60" w:before="0" w:line="240" w:lineRule="auto"/>
        <w:jc w:val="center"/>
      </w:pPr>
      <w:r>
        <w:rPr>
          <w:rFonts w:ascii="Times New Roman" w:hAnsi="Times New Roman" w:eastAsia="Times New Roman"/>
          <w:b w:val="0"/>
          <w:i w:val="0"/>
          <w:color w:val="000000"/>
          <w:sz w:val="22"/>
        </w:rPr>
        <w:t>Amisha Raj | Registration Number: 23BCE0001</w:t>
      </w:r>
    </w:p>
    <w:p>
      <w:pPr>
        <w:widowControl/>
        <w:spacing w:after="200" w:before="0" w:line="276" w:lineRule="auto"/>
        <w:jc w:val="center"/>
      </w:pPr>
      <w:r>
        <w:rPr>
          <w:rFonts w:ascii="Times New Roman" w:hAnsi="Times New Roman" w:eastAsia="Times New Roman"/>
          <w:b w:val="0"/>
          <w:i w:val="0"/>
          <w:color w:val="000000"/>
          <w:sz w:val="22"/>
        </w:rPr>
        <w:t>Department of Computer Science and Engineering, School of Computer Science and Engineering</w:t>
        <w:br/>
        <w:t>Vellore Institute of Technology, Vellore, Tamil Nadu, India</w:t>
      </w:r>
    </w:p>
    <w:p>
      <w:pPr>
        <w:widowControl/>
        <w:spacing w:after="80" w:before="0" w:line="276" w:lineRule="auto"/>
        <w:jc w:val="center"/>
      </w:pPr>
      <w:r>
        <w:rPr>
          <w:rFonts w:ascii="Times New Roman" w:hAnsi="Times New Roman" w:eastAsia="Times New Roman"/>
          <w:b/>
          <w:i w:val="0"/>
          <w:color w:val="000000"/>
          <w:sz w:val="22"/>
        </w:rPr>
        <w:t>Guide</w:t>
      </w:r>
    </w:p>
    <w:p>
      <w:pPr>
        <w:widowControl/>
        <w:spacing w:after="160" w:before="0" w:line="276" w:lineRule="auto"/>
        <w:jc w:val="center"/>
      </w:pPr>
      <w:r>
        <w:rPr>
          <w:rFonts w:ascii="Times New Roman" w:hAnsi="Times New Roman" w:eastAsia="Times New Roman"/>
          <w:b w:val="0"/>
          <w:i w:val="0"/>
          <w:color w:val="000000"/>
          <w:sz w:val="22"/>
        </w:rPr>
        <w:t>Dr. Syamasudha Veeradandham</w:t>
        <w:br/>
        <w:t>Assistant Professor, School of Computer Science and Engineering</w:t>
        <w:br/>
        <w:t>Vellore Institute of Technology</w:t>
      </w:r>
      <w:r>
        <w:rPr>
          <w:rFonts w:ascii="Times New Roman" w:hAnsi="Times New Roman" w:eastAsia="Times New Roman"/>
          <w:color w:val="000000"/>
          <w:sz w:val="22"/>
        </w:rPr>
        <w:br w:type="page"/>
      </w:r>
    </w:p>
    <w:p>
      <w:pPr>
        <w:pStyle w:val="Heading1"/>
        <w:keepNext/>
        <w:widowControl/>
        <w:spacing w:after="100" w:before="220" w:line="276" w:lineRule="auto"/>
        <w:jc w:val="left"/>
      </w:pPr>
      <w:r>
        <w:rPr>
          <w:rFonts w:ascii="Times New Roman" w:hAnsi="Times New Roman" w:eastAsia="Times New Roman"/>
          <w:b/>
          <w:i w:val="0"/>
          <w:color w:val="000000"/>
          <w:sz w:val="28"/>
        </w:rPr>
        <w:t>Abstract</w:t>
      </w:r>
    </w:p>
    <w:p>
      <w:pPr>
        <w:widowControl/>
        <w:spacing w:after="100" w:before="0" w:line="276" w:lineRule="auto"/>
        <w:jc w:val="both"/>
      </w:pPr>
      <w:r>
        <w:rPr>
          <w:rFonts w:ascii="Times New Roman" w:hAnsi="Times New Roman" w:eastAsia="Times New Roman"/>
          <w:b w:val="0"/>
          <w:i w:val="0"/>
          <w:color w:val="000000"/>
          <w:sz w:val="22"/>
        </w:rPr>
        <w:t>Residential energy-monitoring platforms require a traceable path from device telemetry to actionable feedback, but existing solutions frequently address sensing, analytics, or scalable software deployment separately. This work presents a microservices-based Home Energy Tracker that integrates simulated device telemetry, event-driven processing, time-series storage, deterministic energy analytics, and threshold-based alerts. The implemented prototype consists of Spring Boot User, Device, Ingestion, Usage, Insight, and Alert services behind an API Gateway. A Wokwi ESP32 virtual meter produces timestamped JSON telemetry, which is validated by the Ingestion Service, published through Apache Kafka, and stored by the Usage Service in InfluxDB. MySQL maintains household and device metadata, while the Insight Service calculates a slab-based bill forecast, appliance ranking, and a standby-load heuristic. An optional Ollama component generates narrative wording only; numerical outputs remain deterministic and fall back safely when the AI component is unavailable. A controlled local functional run accepted three synthetic readings totaling 1.50 kWh, returned the expected forecast and standby values, and produced a threshold alert captured by Mailpit. These results demonstrate functional integration, not physical-meter accuracy, predictive-model accuracy, scalability, or resilience. The architecture provides a reproducible foundation for future calibrated sensing and empirical evaluation.</w:t>
      </w:r>
    </w:p>
    <w:p>
      <w:pPr>
        <w:pStyle w:val="Heading1"/>
        <w:keepNext/>
        <w:widowControl/>
        <w:spacing w:after="100" w:before="220" w:line="276" w:lineRule="auto"/>
        <w:jc w:val="left"/>
      </w:pPr>
      <w:r>
        <w:rPr>
          <w:rFonts w:ascii="Times New Roman" w:hAnsi="Times New Roman" w:eastAsia="Times New Roman"/>
          <w:b/>
          <w:i w:val="0"/>
          <w:color w:val="000000"/>
          <w:sz w:val="28"/>
        </w:rPr>
        <w:t>Keywords</w:t>
      </w:r>
    </w:p>
    <w:p>
      <w:pPr>
        <w:widowControl/>
        <w:spacing w:after="100" w:before="0" w:line="276" w:lineRule="auto"/>
        <w:jc w:val="both"/>
      </w:pPr>
      <w:r>
        <w:rPr>
          <w:rFonts w:ascii="Times New Roman" w:hAnsi="Times New Roman" w:eastAsia="Times New Roman"/>
          <w:b w:val="0"/>
          <w:i w:val="0"/>
          <w:color w:val="000000"/>
          <w:sz w:val="22"/>
        </w:rPr>
        <w:t>Home energy monitoring; Internet of Things; microservices; Spring Boot; Apache Kafka; InfluxDB; deterministic energy analytics; Wokwi simulation; threshold alerting.</w:t>
      </w:r>
    </w:p>
    <w:p>
      <w:pPr>
        <w:pStyle w:val="Heading1"/>
        <w:keepNext/>
        <w:widowControl/>
        <w:spacing w:after="100" w:before="220" w:line="276" w:lineRule="auto"/>
        <w:jc w:val="left"/>
      </w:pPr>
      <w:r>
        <w:rPr>
          <w:rFonts w:ascii="Times New Roman" w:hAnsi="Times New Roman" w:eastAsia="Times New Roman"/>
          <w:b/>
          <w:i w:val="0"/>
          <w:color w:val="000000"/>
          <w:sz w:val="28"/>
        </w:rPr>
        <w:t>1. INTRODUCTION</w:t>
      </w:r>
    </w:p>
    <w:p>
      <w:pPr>
        <w:widowControl/>
        <w:spacing w:after="100" w:before="0" w:line="276" w:lineRule="auto"/>
        <w:ind w:firstLine="357"/>
        <w:jc w:val="both"/>
      </w:pPr>
      <w:r>
        <w:rPr>
          <w:rFonts w:ascii="Times New Roman" w:hAnsi="Times New Roman" w:eastAsia="Times New Roman"/>
          <w:b w:val="0"/>
          <w:i w:val="0"/>
          <w:color w:val="000000"/>
          <w:sz w:val="22"/>
        </w:rPr>
        <w:t>Residential electricity use is increasingly shaped by connected appliances and digital services. However, monthly bills alone provide limited visibility into when energy is consumed, which device contributes most, or whether a configured household threshold has been exceeded. A practical Home Energy Management System therefore needs an auditable route from telemetry to stored records, analytical output, and user notification.</w:t>
      </w:r>
    </w:p>
    <w:p>
      <w:pPr>
        <w:widowControl/>
        <w:spacing w:after="100" w:before="0" w:line="276" w:lineRule="auto"/>
        <w:ind w:firstLine="357"/>
        <w:jc w:val="both"/>
      </w:pPr>
      <w:r>
        <w:rPr>
          <w:rFonts w:ascii="Times New Roman" w:hAnsi="Times New Roman" w:eastAsia="Times New Roman"/>
          <w:b w:val="0"/>
          <w:i w:val="0"/>
          <w:color w:val="000000"/>
          <w:sz w:val="22"/>
        </w:rPr>
        <w:t>Existing research provides strong but often separate contributions in low-cost sensing, anomaly detection, time-series analysis, and distributed architectures. A software prototype that links these concerns must avoid treating simulated telemetry as calibrated measurement data or treating rule-based outputs as a trained artificial-intelligence model. This distinction is central to the experimental claims of this work.</w:t>
      </w:r>
    </w:p>
    <w:p>
      <w:pPr>
        <w:widowControl/>
        <w:spacing w:after="100" w:before="0" w:line="276" w:lineRule="auto"/>
        <w:ind w:firstLine="357"/>
        <w:jc w:val="both"/>
      </w:pPr>
      <w:r>
        <w:rPr>
          <w:rFonts w:ascii="Times New Roman" w:hAnsi="Times New Roman" w:eastAsia="Times New Roman"/>
          <w:b w:val="0"/>
          <w:i w:val="0"/>
          <w:color w:val="000000"/>
          <w:sz w:val="22"/>
        </w:rPr>
        <w:t>The proposed Home Energy Tracker implements independent Spring Boot services for household profiles, devices, telemetry ingestion, time-series usage, insights, and alerts. A Wokwi ESP32 simulator emits deviceId, energyConsumed, and timestamp records. The API Gateway routes the record to the Ingestion Service, Kafka decouples ingestion from downstream work, InfluxDB stores the time-series point, and the Insight Service returns deterministic forecast, ranking, and standby outputs. The Alert Service persists a threshold-breach alert and sends an email to a local Mailpit inbox.</w:t>
      </w:r>
    </w:p>
    <w:p>
      <w:pPr>
        <w:widowControl/>
        <w:spacing w:after="100" w:before="0" w:line="276" w:lineRule="auto"/>
        <w:ind w:firstLine="357"/>
        <w:jc w:val="both"/>
      </w:pPr>
      <w:r>
        <w:rPr>
          <w:rFonts w:ascii="Times New Roman" w:hAnsi="Times New Roman" w:eastAsia="Times New Roman"/>
          <w:b w:val="0"/>
          <w:i w:val="0"/>
          <w:color w:val="000000"/>
          <w:sz w:val="22"/>
        </w:rPr>
        <w:t>The study is scoped as a system-integration and functional-verification project. It reports a controlled local execution, source-backed formulas, and automated test outcomes. Physical meter calibration, authentication/authorization, anomaly classification, benchmark comparisons, resilience testing, and large-scale performance measurements remain future work rather than completed claims.</w:t>
      </w:r>
    </w:p>
    <w:p>
      <w:pPr>
        <w:pStyle w:val="Heading1"/>
        <w:keepNext/>
        <w:widowControl/>
        <w:spacing w:after="100" w:before="220" w:line="276" w:lineRule="auto"/>
        <w:jc w:val="left"/>
      </w:pPr>
      <w:r>
        <w:rPr>
          <w:rFonts w:ascii="Times New Roman" w:hAnsi="Times New Roman" w:eastAsia="Times New Roman"/>
          <w:b/>
          <w:i w:val="0"/>
          <w:color w:val="000000"/>
          <w:sz w:val="28"/>
        </w:rPr>
        <w:t>2. OBJECTIVES</w:t>
      </w:r>
    </w:p>
    <w:p>
      <w:pPr>
        <w:widowControl/>
        <w:spacing w:after="100" w:before="0" w:line="276" w:lineRule="auto"/>
        <w:jc w:val="both"/>
      </w:pPr>
      <w:r>
        <w:rPr>
          <w:rFonts w:ascii="Times New Roman" w:hAnsi="Times New Roman" w:eastAsia="Times New Roman"/>
          <w:b w:val="0"/>
          <w:i w:val="0"/>
          <w:color w:val="000000"/>
          <w:sz w:val="22"/>
        </w:rPr>
        <w:t>The objectives of the proposed Home Energy Tracker are:</w:t>
      </w:r>
    </w:p>
    <w:p>
      <w:pPr>
        <w:pStyle w:val="ListNumber"/>
        <w:widowControl/>
        <w:spacing w:after="60" w:before="0" w:line="264" w:lineRule="auto"/>
        <w:jc w:val="both"/>
      </w:pPr>
      <w:r>
        <w:rPr>
          <w:rFonts w:ascii="Times New Roman" w:hAnsi="Times New Roman" w:eastAsia="Times New Roman"/>
          <w:b w:val="0"/>
          <w:i w:val="0"/>
          <w:color w:val="000000"/>
          <w:sz w:val="22"/>
        </w:rPr>
        <w:t>Design a modular, event-driven microservices architecture for household energy monitoring using Spring Boot and an API Gateway.</w:t>
      </w:r>
    </w:p>
    <w:p>
      <w:pPr>
        <w:pStyle w:val="ListNumber"/>
        <w:widowControl/>
        <w:spacing w:after="60" w:before="0" w:line="264" w:lineRule="auto"/>
        <w:jc w:val="both"/>
      </w:pPr>
      <w:r>
        <w:rPr>
          <w:rFonts w:ascii="Times New Roman" w:hAnsi="Times New Roman" w:eastAsia="Times New Roman"/>
          <w:b w:val="0"/>
          <w:i w:val="0"/>
          <w:color w:val="000000"/>
          <w:sz w:val="22"/>
        </w:rPr>
        <w:t>Accept timestamped device telemetry through a validated REST ingestion interface and transfer accepted events through Apache Kafka to a time-series store.</w:t>
      </w:r>
    </w:p>
    <w:p>
      <w:pPr>
        <w:pStyle w:val="ListNumber"/>
        <w:widowControl/>
        <w:spacing w:after="60" w:before="0" w:line="264" w:lineRule="auto"/>
        <w:jc w:val="both"/>
      </w:pPr>
      <w:r>
        <w:rPr>
          <w:rFonts w:ascii="Times New Roman" w:hAnsi="Times New Roman" w:eastAsia="Times New Roman"/>
          <w:b w:val="0"/>
          <w:i w:val="0"/>
          <w:color w:val="000000"/>
          <w:sz w:val="22"/>
        </w:rPr>
        <w:t>Provide transparent, deterministic energy-management outputs: a slab-based bill forecast, appliance ranking, and standby-load heuristic.</w:t>
      </w:r>
    </w:p>
    <w:p>
      <w:pPr>
        <w:pStyle w:val="ListNumber"/>
        <w:widowControl/>
        <w:spacing w:after="60" w:before="0" w:line="264" w:lineRule="auto"/>
        <w:jc w:val="both"/>
      </w:pPr>
      <w:r>
        <w:rPr>
          <w:rFonts w:ascii="Times New Roman" w:hAnsi="Times New Roman" w:eastAsia="Times New Roman"/>
          <w:b w:val="0"/>
          <w:i w:val="0"/>
          <w:color w:val="000000"/>
          <w:sz w:val="22"/>
        </w:rPr>
        <w:t>Implement a configurable threshold-alert path that persists alert history and demonstrates local email delivery through Mailpit.</w:t>
      </w:r>
    </w:p>
    <w:p>
      <w:pPr>
        <w:pStyle w:val="ListNumber"/>
        <w:widowControl/>
        <w:spacing w:after="60" w:before="0" w:line="264" w:lineRule="auto"/>
        <w:jc w:val="both"/>
      </w:pPr>
      <w:r>
        <w:rPr>
          <w:rFonts w:ascii="Times New Roman" w:hAnsi="Times New Roman" w:eastAsia="Times New Roman"/>
          <w:b w:val="0"/>
          <w:i w:val="0"/>
          <w:color w:val="000000"/>
          <w:sz w:val="22"/>
        </w:rPr>
        <w:t>Validate the implemented path through automated tests and controlled end-to-end runs, while documenting the limits of simulation-based evidence.</w:t>
      </w:r>
    </w:p>
    <w:p>
      <w:pPr>
        <w:pStyle w:val="ListNumber"/>
        <w:widowControl/>
        <w:spacing w:after="60" w:before="0" w:line="264" w:lineRule="auto"/>
        <w:jc w:val="both"/>
      </w:pPr>
      <w:r>
        <w:rPr>
          <w:rFonts w:ascii="Times New Roman" w:hAnsi="Times New Roman" w:eastAsia="Times New Roman"/>
          <w:b w:val="0"/>
          <w:i w:val="0"/>
          <w:color w:val="000000"/>
          <w:sz w:val="22"/>
        </w:rPr>
        <w:t>Maintain an extensible foundation for future calibrated sensing, secure access control, data-driven anomaly detection, and resilience evaluation.</w:t>
      </w:r>
    </w:p>
    <w:p>
      <w:pPr>
        <w:pStyle w:val="Heading2"/>
        <w:keepNext/>
        <w:widowControl/>
        <w:spacing w:after="100" w:before="160" w:line="276" w:lineRule="auto"/>
        <w:jc w:val="left"/>
      </w:pPr>
      <w:r>
        <w:rPr>
          <w:rFonts w:ascii="Times New Roman" w:hAnsi="Times New Roman" w:eastAsia="Times New Roman"/>
          <w:b/>
          <w:i w:val="0"/>
          <w:color w:val="000000"/>
          <w:sz w:val="24"/>
        </w:rPr>
        <w:t>2.1 LITERATURE REVIEW</w:t>
      </w:r>
    </w:p>
    <w:p>
      <w:pPr>
        <w:pStyle w:val="Heading3"/>
        <w:keepNext/>
        <w:widowControl/>
        <w:spacing w:after="100" w:before="160" w:line="276" w:lineRule="auto"/>
        <w:jc w:val="left"/>
      </w:pPr>
      <w:r>
        <w:rPr>
          <w:rFonts w:ascii="Times New Roman" w:hAnsi="Times New Roman" w:eastAsia="Times New Roman"/>
          <w:b/>
          <w:i w:val="0"/>
          <w:color w:val="000000"/>
          <w:sz w:val="22"/>
        </w:rPr>
        <w:t>1 Smart Metering Meets AI: Real-Time Appliance Monitoring and Anomaly Detection Over DDS Middleware (2025)</w:t>
      </w:r>
    </w:p>
    <w:p>
      <w:pPr>
        <w:widowControl/>
        <w:spacing w:after="100" w:before="0" w:line="276" w:lineRule="auto"/>
        <w:ind w:firstLine="357"/>
        <w:jc w:val="both"/>
      </w:pPr>
      <w:r>
        <w:rPr>
          <w:rFonts w:ascii="Times New Roman" w:hAnsi="Times New Roman" w:eastAsia="Times New Roman"/>
          <w:b w:val="0"/>
          <w:i w:val="0"/>
          <w:color w:val="000000"/>
          <w:sz w:val="22"/>
        </w:rPr>
        <w:t>This study proposes an intelligent smart metering framework that integrates real-time energy sensing, decentralized communication, and artificial intelligence for appliance monitoring and anomaly detection. The proposed architecture utilizes eProsima Fast Data Distribution Service (Fast DDS), a broker-less publish-subscribe middleware, to transmit high-resolution electrical measurements from smart meters to a remote server with minimal communication latency. A multi-task deep neural network is employed to simultaneously classify household appliances and detect abnormal operating conditions using short time-series windows of electrical power data.</w:t>
      </w:r>
    </w:p>
    <w:p>
      <w:pPr>
        <w:widowControl/>
        <w:spacing w:after="100" w:before="0" w:line="276" w:lineRule="auto"/>
        <w:ind w:firstLine="357"/>
        <w:jc w:val="both"/>
      </w:pPr>
      <w:r>
        <w:rPr>
          <w:rFonts w:ascii="Times New Roman" w:hAnsi="Times New Roman" w:eastAsia="Times New Roman"/>
          <w:b w:val="0"/>
          <w:i w:val="0"/>
          <w:color w:val="000000"/>
          <w:sz w:val="22"/>
        </w:rPr>
        <w:t>Experimental evaluation demonstrated over 93% accuracy in appliance classification and more than 99% accuracy in anomaly detection while maintaining an average communication latency of approximately 25 milliseconds. These results indicate that the proposed architecture is suitable for real-time smart energy monitoring applications requiring high throughput and reliable communication.</w:t>
      </w:r>
    </w:p>
    <w:p>
      <w:pPr>
        <w:widowControl/>
        <w:spacing w:after="100" w:before="0" w:line="276" w:lineRule="auto"/>
        <w:ind w:firstLine="357"/>
        <w:jc w:val="both"/>
      </w:pPr>
      <w:r>
        <w:rPr>
          <w:rFonts w:ascii="Times New Roman" w:hAnsi="Times New Roman" w:eastAsia="Times New Roman"/>
          <w:b w:val="0"/>
          <w:i w:val="0"/>
          <w:color w:val="000000"/>
          <w:sz w:val="22"/>
        </w:rPr>
        <w:t>Although the proposed system provides excellent real-time monitoring and AI-driven anomaly detection, its architecture mainly focuses on appliance classification and distributed communication. The study provides limited discussion on scalable backend service management, user authentication, intelligent alert generation, and long-term historical energy analytics within a complete home energy management platform.</w:t>
      </w:r>
    </w:p>
    <w:p>
      <w:pPr>
        <w:widowControl/>
        <w:spacing w:after="100" w:before="0" w:line="276" w:lineRule="auto"/>
        <w:ind w:firstLine="357"/>
        <w:jc w:val="both"/>
      </w:pPr>
      <w:r>
        <w:rPr>
          <w:rFonts w:ascii="Times New Roman" w:hAnsi="Times New Roman" w:eastAsia="Times New Roman"/>
          <w:b w:val="0"/>
          <w:i w:val="0"/>
          <w:color w:val="000000"/>
          <w:sz w:val="22"/>
        </w:rPr>
        <w:t>This study motivates the use of event-driven telemetry and rich analysis. In the present prototype, Apache Kafka and InfluxDB support the integration path, while trained appliance classification, anomaly detection, and secure authentication are not implemented and remain future work.</w:t>
      </w:r>
    </w:p>
    <w:p>
      <w:pPr>
        <w:pStyle w:val="Heading3"/>
        <w:keepNext/>
        <w:widowControl/>
        <w:spacing w:after="100" w:before="160" w:line="276" w:lineRule="auto"/>
        <w:jc w:val="left"/>
      </w:pPr>
      <w:r>
        <w:rPr>
          <w:rFonts w:ascii="Times New Roman" w:hAnsi="Times New Roman" w:eastAsia="Times New Roman"/>
          <w:b/>
          <w:i w:val="0"/>
          <w:color w:val="000000"/>
          <w:sz w:val="22"/>
        </w:rPr>
        <w:t>2 Real-Time IoT-Based Energy Power Consumption Monitoring System for Smart Homes (2025)</w:t>
      </w:r>
    </w:p>
    <w:p>
      <w:pPr>
        <w:widowControl/>
        <w:spacing w:after="100" w:before="0" w:line="276" w:lineRule="auto"/>
        <w:ind w:firstLine="357"/>
        <w:jc w:val="both"/>
      </w:pPr>
      <w:r>
        <w:rPr>
          <w:rFonts w:ascii="Times New Roman" w:hAnsi="Times New Roman" w:eastAsia="Times New Roman"/>
          <w:b w:val="0"/>
          <w:i w:val="0"/>
          <w:color w:val="000000"/>
          <w:sz w:val="22"/>
        </w:rPr>
        <w:t>This research presents a low-cost Internet of Things (IoT)-based energy monitoring system designed for residential smart homes. The proposed prototype employs a PZEM-004T energy sensor and an ESP8266 microcontroller to measure electrical parameters including voltage, current, power, energy consumption, frequency, and power factor. The collected information is displayed locally using an OLED display and remotely through a Blynk-based mobile application.</w:t>
      </w:r>
    </w:p>
    <w:p>
      <w:pPr>
        <w:widowControl/>
        <w:spacing w:after="100" w:before="0" w:line="276" w:lineRule="auto"/>
        <w:ind w:firstLine="357"/>
        <w:jc w:val="both"/>
      </w:pPr>
      <w:r>
        <w:rPr>
          <w:rFonts w:ascii="Times New Roman" w:hAnsi="Times New Roman" w:eastAsia="Times New Roman"/>
          <w:b w:val="0"/>
          <w:i w:val="0"/>
          <w:color w:val="000000"/>
          <w:sz w:val="22"/>
        </w:rPr>
        <w:t>Experimental results indicate a measurement error of less than 0.05%, demonstrating high monitoring accuracy and improved power factor through automated capacitor bank control. The study highlights the effectiveness of combining affordable sensing hardware with remote monitoring capabilities to improve household energy awareness and reduce electricity consumption.</w:t>
      </w:r>
    </w:p>
    <w:p>
      <w:pPr>
        <w:widowControl/>
        <w:spacing w:after="100" w:before="0" w:line="276" w:lineRule="auto"/>
        <w:ind w:firstLine="357"/>
        <w:jc w:val="both"/>
      </w:pPr>
      <w:r>
        <w:rPr>
          <w:rFonts w:ascii="Times New Roman" w:hAnsi="Times New Roman" w:eastAsia="Times New Roman"/>
          <w:b w:val="0"/>
          <w:i w:val="0"/>
          <w:color w:val="000000"/>
          <w:sz w:val="22"/>
        </w:rPr>
        <w:t>Despite providing accurate real-time monitoring, the proposed solution primarily focuses on hardware implementation and remote visualization. It does not include intelligent backend services, AI-driven energy analytics, scalable microservices architecture, secure authentication mechanisms, or advanced event-driven communication suitable for large-scale deployments.</w:t>
      </w:r>
    </w:p>
    <w:p>
      <w:pPr>
        <w:widowControl/>
        <w:spacing w:after="100" w:before="0" w:line="276" w:lineRule="auto"/>
        <w:ind w:firstLine="357"/>
        <w:jc w:val="both"/>
      </w:pPr>
      <w:r>
        <w:rPr>
          <w:rFonts w:ascii="Times New Roman" w:hAnsi="Times New Roman" w:eastAsia="Times New Roman"/>
          <w:b w:val="0"/>
          <w:i w:val="0"/>
          <w:color w:val="000000"/>
          <w:sz w:val="22"/>
        </w:rPr>
        <w:t>This hardware-oriented study motivates future physical sensing. The current prototype instead uses Wokwi-generated test input to exercise the backend interface; it does not claim PZEM-level measurement accuracy or calibrated electrical parameters.</w:t>
      </w:r>
    </w:p>
    <w:p>
      <w:pPr>
        <w:pStyle w:val="Heading3"/>
        <w:keepNext/>
        <w:widowControl/>
        <w:spacing w:after="100" w:before="160" w:line="276" w:lineRule="auto"/>
        <w:jc w:val="left"/>
      </w:pPr>
      <w:r>
        <w:rPr>
          <w:rFonts w:ascii="Times New Roman" w:hAnsi="Times New Roman" w:eastAsia="Times New Roman"/>
          <w:b/>
          <w:i w:val="0"/>
          <w:color w:val="000000"/>
          <w:sz w:val="22"/>
        </w:rPr>
        <w:t>3 Design of a Microservices-Based Architecture for Residential Energy Efficiency Monitoring (2024)</w:t>
      </w:r>
    </w:p>
    <w:p>
      <w:pPr>
        <w:widowControl/>
        <w:spacing w:after="100" w:before="0" w:line="276" w:lineRule="auto"/>
        <w:ind w:firstLine="357"/>
        <w:jc w:val="both"/>
      </w:pPr>
      <w:r>
        <w:rPr>
          <w:rFonts w:ascii="Times New Roman" w:hAnsi="Times New Roman" w:eastAsia="Times New Roman"/>
          <w:b w:val="0"/>
          <w:i w:val="0"/>
          <w:color w:val="000000"/>
          <w:sz w:val="22"/>
        </w:rPr>
        <w:t>This study proposes a distributed microservices architecture for residential energy efficiency monitoring to overcome the limitations of traditional service-oriented architectures. The system is designed to improve scalability, fault tolerance, maintainability, and interoperability while enabling efficient monitoring and control of residential electrical devices. Cloud-based services are utilized to process energy information and improve overall system performance.</w:t>
      </w:r>
    </w:p>
    <w:p>
      <w:pPr>
        <w:widowControl/>
        <w:spacing w:after="100" w:before="0" w:line="276" w:lineRule="auto"/>
        <w:ind w:firstLine="357"/>
        <w:jc w:val="both"/>
      </w:pPr>
      <w:r>
        <w:rPr>
          <w:rFonts w:ascii="Times New Roman" w:hAnsi="Times New Roman" w:eastAsia="Times New Roman"/>
          <w:b w:val="0"/>
          <w:i w:val="0"/>
          <w:color w:val="000000"/>
          <w:sz w:val="22"/>
        </w:rPr>
        <w:t>The proposed architecture demonstrates significant improvements in energy efficiency management, demand response, power quality, and system scalability. The modular design allows independent deployment and maintenance of individual services, making the system more flexible than conventional monolithic architectures. The authors also recommend integrating advanced machine learning techniques in future work to improve intelligent energy management further.</w:t>
      </w:r>
    </w:p>
    <w:p>
      <w:pPr>
        <w:widowControl/>
        <w:spacing w:after="100" w:before="0" w:line="276" w:lineRule="auto"/>
        <w:ind w:firstLine="357"/>
        <w:jc w:val="both"/>
      </w:pPr>
      <w:r>
        <w:rPr>
          <w:rFonts w:ascii="Times New Roman" w:hAnsi="Times New Roman" w:eastAsia="Times New Roman"/>
          <w:b w:val="0"/>
          <w:i w:val="0"/>
          <w:color w:val="000000"/>
          <w:sz w:val="22"/>
        </w:rPr>
        <w:t>Although the architecture successfully addresses scalability and modularity, it does not provide detailed implementation of AI-powered energy recommendations, secure authentication, intelligent alert generation, or event-driven streaming using modern messaging platforms.</w:t>
      </w:r>
    </w:p>
    <w:p>
      <w:pPr>
        <w:widowControl/>
        <w:spacing w:after="100" w:before="0" w:line="276" w:lineRule="auto"/>
        <w:ind w:firstLine="357"/>
        <w:jc w:val="both"/>
      </w:pPr>
      <w:r>
        <w:rPr>
          <w:rFonts w:ascii="Times New Roman" w:hAnsi="Times New Roman" w:eastAsia="Times New Roman"/>
          <w:b w:val="0"/>
          <w:i w:val="0"/>
          <w:color w:val="000000"/>
          <w:sz w:val="22"/>
        </w:rPr>
        <w:t>This work provides an architectural basis for service separation. The present implementation adopts Spring Boot microservices, Kafka, InfluxDB, deterministic insight functions, and a threshold alert path; secure authentication and trained AI analytics are outside the current scope.</w:t>
      </w:r>
    </w:p>
    <w:p>
      <w:pPr>
        <w:pStyle w:val="Heading3"/>
        <w:keepNext/>
        <w:widowControl/>
        <w:spacing w:after="100" w:before="160" w:line="276" w:lineRule="auto"/>
        <w:jc w:val="left"/>
      </w:pPr>
      <w:r>
        <w:rPr>
          <w:rFonts w:ascii="Times New Roman" w:hAnsi="Times New Roman" w:eastAsia="Times New Roman"/>
          <w:b/>
          <w:i w:val="0"/>
          <w:color w:val="000000"/>
          <w:sz w:val="22"/>
        </w:rPr>
        <w:t>4 A Cloud Architecture for Home Energy Management Systems: A Conceptual Model (2025)</w:t>
      </w:r>
    </w:p>
    <w:p>
      <w:pPr>
        <w:widowControl/>
        <w:spacing w:after="100" w:before="0" w:line="276" w:lineRule="auto"/>
        <w:ind w:firstLine="357"/>
        <w:jc w:val="both"/>
      </w:pPr>
      <w:r>
        <w:rPr>
          <w:rFonts w:ascii="Times New Roman" w:hAnsi="Times New Roman" w:eastAsia="Times New Roman"/>
          <w:b w:val="0"/>
          <w:i w:val="0"/>
          <w:color w:val="000000"/>
          <w:sz w:val="22"/>
        </w:rPr>
        <w:t>This paper presents a cloud-based conceptual architecture for Home Energy Management Systems (HEMS) that focuses on the efficient organization, ingestion, processing, storage, and analysis of IoT-generated energy data. The proposed framework divides the system into three interconnected environments: Ingestion, Operational, and Analytical. Each environment is responsible for specific tasks such as collecting real-time data, supporting operational services, and enabling large-scale analytics and decision-making. The architecture also aligns system functionalities with the needs of different stakeholders, including homeowners, service providers, and utility operators.</w:t>
      </w:r>
    </w:p>
    <w:p>
      <w:pPr>
        <w:widowControl/>
        <w:spacing w:after="100" w:before="0" w:line="276" w:lineRule="auto"/>
        <w:ind w:firstLine="357"/>
        <w:jc w:val="both"/>
      </w:pPr>
      <w:r>
        <w:rPr>
          <w:rFonts w:ascii="Times New Roman" w:hAnsi="Times New Roman" w:eastAsia="Times New Roman"/>
          <w:b w:val="0"/>
          <w:i w:val="0"/>
          <w:color w:val="000000"/>
          <w:sz w:val="22"/>
        </w:rPr>
        <w:t>The proposed architecture demonstrates that separating data ingestion, operational processing, and analytical functions improves system scalability, adaptability, and maintainability. By organizing software components around stakeholder requirements, the framework provides a structured foundation for real-time monitoring, data management, and decision support in modern Home Energy Management Systems.</w:t>
      </w:r>
    </w:p>
    <w:p>
      <w:pPr>
        <w:widowControl/>
        <w:spacing w:after="100" w:before="0" w:line="276" w:lineRule="auto"/>
        <w:ind w:firstLine="357"/>
        <w:jc w:val="both"/>
      </w:pPr>
      <w:r>
        <w:rPr>
          <w:rFonts w:ascii="Times New Roman" w:hAnsi="Times New Roman" w:eastAsia="Times New Roman"/>
          <w:b w:val="0"/>
          <w:i w:val="0"/>
          <w:color w:val="000000"/>
          <w:sz w:val="22"/>
        </w:rPr>
        <w:t>However, the study primarily presents a conceptual software architecture rather than a complete implementation. It does not describe an event-driven communication mechanism such as Apache Kafka, AI-powered energy insight generation, secure authentication using Keycloak and JWT, or intelligent real-time alert services for abnormal energy consumption.</w:t>
      </w:r>
    </w:p>
    <w:p>
      <w:pPr>
        <w:widowControl/>
        <w:spacing w:after="100" w:before="0" w:line="276" w:lineRule="auto"/>
        <w:ind w:firstLine="357"/>
        <w:jc w:val="both"/>
      </w:pPr>
      <w:r>
        <w:rPr>
          <w:rFonts w:ascii="Times New Roman" w:hAnsi="Times New Roman" w:eastAsia="Times New Roman"/>
          <w:b w:val="0"/>
          <w:i w:val="0"/>
          <w:color w:val="000000"/>
          <w:sz w:val="22"/>
        </w:rPr>
        <w:t>The layered conceptual model informs the separation of ingestion, operational services, and analytics in the proposed prototype. The implemented additions are API routing, Kafka event transfer, InfluxDB storage, deterministic insights, and local alert delivery; Keycloak authentication is reserved for future development.</w:t>
      </w:r>
    </w:p>
    <w:p>
      <w:pPr>
        <w:pStyle w:val="Heading3"/>
        <w:keepNext/>
        <w:widowControl/>
        <w:spacing w:after="100" w:before="160" w:line="276" w:lineRule="auto"/>
        <w:jc w:val="left"/>
      </w:pPr>
      <w:r>
        <w:rPr>
          <w:rFonts w:ascii="Times New Roman" w:hAnsi="Times New Roman" w:eastAsia="Times New Roman"/>
          <w:b/>
          <w:i w:val="0"/>
          <w:color w:val="000000"/>
          <w:sz w:val="22"/>
        </w:rPr>
        <w:t>5 Smart Metering Enabled by the Internet of Things for Monitoring Residential Energy Consumption and Power Quality (2025)</w:t>
      </w:r>
    </w:p>
    <w:p>
      <w:pPr>
        <w:widowControl/>
        <w:spacing w:after="100" w:before="0" w:line="276" w:lineRule="auto"/>
        <w:ind w:firstLine="357"/>
        <w:jc w:val="both"/>
      </w:pPr>
      <w:r>
        <w:rPr>
          <w:rFonts w:ascii="Times New Roman" w:hAnsi="Times New Roman" w:eastAsia="Times New Roman"/>
          <w:b w:val="0"/>
          <w:i w:val="0"/>
          <w:color w:val="000000"/>
          <w:sz w:val="22"/>
        </w:rPr>
        <w:t>This paper presents an Internet of Things (IoT)-enabled smart metering system designed for continuous monitoring of residential energy consumption and power quality. The proposed solution utilizes an ESP32 microcontroller along with ZMPT101B voltage sensors and SCT013 current sensors to capture high-resolution electrical measurements. The collected data is analyzed to detect and classify various power quality disturbances, including voltage sags, voltage swells, harmonic distortions, spikes, notches, and transient events. The study emphasizes the importance of combining real-time sensing with intelligent monitoring to improve energy efficiency and maintain electrical reliability in residential environments.</w:t>
      </w:r>
    </w:p>
    <w:p>
      <w:pPr>
        <w:widowControl/>
        <w:spacing w:after="100" w:before="0" w:line="276" w:lineRule="auto"/>
        <w:ind w:firstLine="357"/>
        <w:jc w:val="both"/>
      </w:pPr>
      <w:r>
        <w:rPr>
          <w:rFonts w:ascii="Times New Roman" w:hAnsi="Times New Roman" w:eastAsia="Times New Roman"/>
          <w:b w:val="0"/>
          <w:i w:val="0"/>
          <w:color w:val="000000"/>
          <w:sz w:val="22"/>
        </w:rPr>
        <w:t>The experimental results demonstrate that the proposed system can accurately monitor electrical parameters while effectively identifying different categories of power quality disturbances. The authors also suggest that integrating machine learning algorithms with the monitoring platform can further enhance prediction accuracy, optimize energy consumption patterns, and support smarter energy management in future smart home environments.</w:t>
      </w:r>
    </w:p>
    <w:p>
      <w:pPr>
        <w:widowControl/>
        <w:spacing w:after="100" w:before="0" w:line="276" w:lineRule="auto"/>
        <w:ind w:firstLine="357"/>
        <w:jc w:val="both"/>
      </w:pPr>
      <w:r>
        <w:rPr>
          <w:rFonts w:ascii="Times New Roman" w:hAnsi="Times New Roman" w:eastAsia="Times New Roman"/>
          <w:b w:val="0"/>
          <w:i w:val="0"/>
          <w:color w:val="000000"/>
          <w:sz w:val="22"/>
        </w:rPr>
        <w:t>Although the proposed system provides comprehensive monitoring of electrical parameters and power quality events, it mainly concentrates on sensing hardware and disturbance classification. The study does not describe a scalable microservices backend, event-driven communication using messaging platforms, secure user authentication, historical time-series analytics, or AI-powered personalized energy recommendations.</w:t>
      </w:r>
    </w:p>
    <w:p>
      <w:pPr>
        <w:widowControl/>
        <w:spacing w:after="100" w:before="0" w:line="276" w:lineRule="auto"/>
        <w:ind w:firstLine="357"/>
        <w:jc w:val="both"/>
      </w:pPr>
      <w:r>
        <w:rPr>
          <w:rFonts w:ascii="Times New Roman" w:hAnsi="Times New Roman" w:eastAsia="Times New Roman"/>
          <w:b w:val="0"/>
          <w:i w:val="0"/>
          <w:color w:val="000000"/>
          <w:sz w:val="22"/>
        </w:rPr>
        <w:t>The study underlines the importance of accurate metering and power-quality sensing. It therefore motivates a future calibrated hardware phase, while the current Wokwi simulation is used only for software integration and functional testing.</w:t>
      </w:r>
    </w:p>
    <w:p>
      <w:pPr>
        <w:pStyle w:val="Heading3"/>
        <w:keepNext/>
        <w:widowControl/>
        <w:spacing w:after="100" w:before="160" w:line="276" w:lineRule="auto"/>
        <w:jc w:val="left"/>
      </w:pPr>
      <w:r>
        <w:rPr>
          <w:rFonts w:ascii="Times New Roman" w:hAnsi="Times New Roman" w:eastAsia="Times New Roman"/>
          <w:b/>
          <w:i w:val="0"/>
          <w:color w:val="000000"/>
          <w:sz w:val="22"/>
        </w:rPr>
        <w:t>6 Anomaly Detection in Smart Electric Meters for Detecting Faults and Misuse of Electric Energy Consumption (2025)</w:t>
      </w:r>
    </w:p>
    <w:p>
      <w:pPr>
        <w:widowControl/>
        <w:spacing w:after="100" w:before="0" w:line="276" w:lineRule="auto"/>
        <w:ind w:firstLine="357"/>
        <w:jc w:val="both"/>
      </w:pPr>
      <w:r>
        <w:rPr>
          <w:rFonts w:ascii="Times New Roman" w:hAnsi="Times New Roman" w:eastAsia="Times New Roman"/>
          <w:b w:val="0"/>
          <w:i w:val="0"/>
          <w:color w:val="000000"/>
          <w:sz w:val="22"/>
        </w:rPr>
        <w:t>This study proposes a hybrid anomaly detection framework for identifying faults, energy misuse, and abnormal electricity consumption patterns in smart electric meters. The authors address the challenge of detecting anomalies within the large volume of data generated by smart meters by combining multiple statistical and machine learning techniques. The proposed framework integrates Z-score analysis, Local Outlier Factor (LOF), One-Class Support Vector Machine (SVM), and Isolation Forest (iForest). An event is classified as anomalous only when all four methods agree, thereby reducing false positives and improving detection reliability.</w:t>
      </w:r>
    </w:p>
    <w:p>
      <w:pPr>
        <w:widowControl/>
        <w:spacing w:after="100" w:before="0" w:line="276" w:lineRule="auto"/>
        <w:ind w:firstLine="357"/>
        <w:jc w:val="both"/>
      </w:pPr>
      <w:r>
        <w:rPr>
          <w:rFonts w:ascii="Times New Roman" w:hAnsi="Times New Roman" w:eastAsia="Times New Roman"/>
          <w:b w:val="0"/>
          <w:i w:val="0"/>
          <w:color w:val="000000"/>
          <w:sz w:val="22"/>
        </w:rPr>
        <w:t>To enhance user interaction, the framework is implemented through an interactive Streamlit dashboard that provides real-time visualization of energy consumption, peak-time alerts, usage forecasting, and personalized energy-saving recommendations. Experimental results indicate that the hybrid approach performs better than individual anomaly detection techniques, offering improved detection accuracy and practical applicability for smart grid and microgrid environments. The study demonstrates that combining complementary detection algorithms with proactive user feedback can significantly improve energy management and reduce unnecessary electricity consumption.</w:t>
      </w:r>
    </w:p>
    <w:p>
      <w:pPr>
        <w:widowControl/>
        <w:spacing w:after="100" w:before="0" w:line="276" w:lineRule="auto"/>
        <w:ind w:firstLine="357"/>
        <w:jc w:val="both"/>
      </w:pPr>
      <w:r>
        <w:rPr>
          <w:rFonts w:ascii="Times New Roman" w:hAnsi="Times New Roman" w:eastAsia="Times New Roman"/>
          <w:b w:val="0"/>
          <w:i w:val="0"/>
          <w:color w:val="000000"/>
          <w:sz w:val="22"/>
        </w:rPr>
        <w:t>Despite its strong anomaly detection capability, the proposed framework mainly focuses on analytical models and dashboard visualization. It does not describe a distributed microservices architecture, event-driven communication, secure authentication, or dedicated backend services for scalable deployment across multiple users and households.</w:t>
      </w:r>
    </w:p>
    <w:p>
      <w:pPr>
        <w:widowControl/>
        <w:spacing w:after="100" w:before="0" w:line="276" w:lineRule="auto"/>
        <w:ind w:firstLine="357"/>
        <w:jc w:val="both"/>
      </w:pPr>
      <w:r>
        <w:rPr>
          <w:rFonts w:ascii="Times New Roman" w:hAnsi="Times New Roman" w:eastAsia="Times New Roman"/>
          <w:b w:val="0"/>
          <w:i w:val="0"/>
          <w:color w:val="000000"/>
          <w:sz w:val="22"/>
        </w:rPr>
        <w:t>The anomaly-detection literature motivates future analytical extensions. In the current implementation, the Alert Service applies a configured threshold rule to aggregated usage rather than a hybrid anomaly classifier.</w:t>
      </w:r>
    </w:p>
    <w:p>
      <w:pPr>
        <w:pStyle w:val="Heading3"/>
        <w:keepNext/>
        <w:widowControl/>
        <w:spacing w:after="100" w:before="160" w:line="276" w:lineRule="auto"/>
        <w:jc w:val="left"/>
      </w:pPr>
      <w:r>
        <w:rPr>
          <w:rFonts w:ascii="Times New Roman" w:hAnsi="Times New Roman" w:eastAsia="Times New Roman"/>
          <w:b/>
          <w:i w:val="0"/>
          <w:color w:val="000000"/>
          <w:sz w:val="22"/>
        </w:rPr>
        <w:t>7 A Scalable IoT–AI Framework for Real-Time Energy Anomaly Detection in Smart Grid Networks (2026)</w:t>
      </w:r>
    </w:p>
    <w:p>
      <w:pPr>
        <w:widowControl/>
        <w:spacing w:after="100" w:before="0" w:line="276" w:lineRule="auto"/>
        <w:ind w:firstLine="357"/>
        <w:jc w:val="both"/>
      </w:pPr>
      <w:r>
        <w:rPr>
          <w:rFonts w:ascii="Times New Roman" w:hAnsi="Times New Roman" w:eastAsia="Times New Roman"/>
          <w:b w:val="0"/>
          <w:i w:val="0"/>
          <w:color w:val="000000"/>
          <w:sz w:val="22"/>
        </w:rPr>
        <w:t>This paper proposes a scalable IoT–AI framework for detecting energy anomalies in smart grid environments. The architecture consists of four layers: IoT-based data acquisition, intelligent preprocessing, machine learning analytics, and operator decision support. Multiple machine learning models are integrated to identify abnormal consumption behaviour, while Explainable Artificial Intelligence (XAI) using SHAP provides interpretable explanations for each prediction.</w:t>
      </w:r>
    </w:p>
    <w:p>
      <w:pPr>
        <w:widowControl/>
        <w:spacing w:after="100" w:before="0" w:line="276" w:lineRule="auto"/>
        <w:ind w:firstLine="357"/>
        <w:jc w:val="both"/>
      </w:pPr>
      <w:r>
        <w:rPr>
          <w:rFonts w:ascii="Times New Roman" w:hAnsi="Times New Roman" w:eastAsia="Times New Roman"/>
          <w:b w:val="0"/>
          <w:i w:val="0"/>
          <w:color w:val="000000"/>
          <w:sz w:val="22"/>
        </w:rPr>
        <w:t>The proposed framework is evaluated using the SGCC benchmark dataset containing more than 42,000 consumers. Experimental results demonstrate 94.3% accuracy, 92.8% precision, 93.5% recall, and 93.1% F1-score while maintaining an average alert latency below 2.5 seconds. These results indicate that AI-driven anomaly detection can significantly improve the reliability of large-scale smart energy systems.</w:t>
      </w:r>
    </w:p>
    <w:p>
      <w:pPr>
        <w:widowControl/>
        <w:spacing w:after="100" w:before="0" w:line="276" w:lineRule="auto"/>
        <w:ind w:firstLine="357"/>
        <w:jc w:val="both"/>
      </w:pPr>
      <w:r>
        <w:rPr>
          <w:rFonts w:ascii="Times New Roman" w:hAnsi="Times New Roman" w:eastAsia="Times New Roman"/>
          <w:b w:val="0"/>
          <w:i w:val="0"/>
          <w:color w:val="000000"/>
          <w:sz w:val="22"/>
        </w:rPr>
        <w:t>Although the framework achieves excellent anomaly detection performance, it mainly focuses on AI analytics for smart grids. It does not describe a complete backend architecture with microservices, API Gateway, authentication, or time-series data management.</w:t>
      </w:r>
    </w:p>
    <w:p>
      <w:pPr>
        <w:widowControl/>
        <w:spacing w:after="100" w:before="0" w:line="276" w:lineRule="auto"/>
        <w:ind w:firstLine="357"/>
        <w:jc w:val="both"/>
      </w:pPr>
      <w:r>
        <w:rPr>
          <w:rFonts w:ascii="Times New Roman" w:hAnsi="Times New Roman" w:eastAsia="Times New Roman"/>
          <w:b w:val="0"/>
          <w:i w:val="0"/>
          <w:color w:val="000000"/>
          <w:sz w:val="22"/>
        </w:rPr>
        <w:t>This framework demonstrates the potential of AI-assisted anomaly detection at scale. The present work addresses service integration at prototype scale; it does not implement or evaluate a trained anomaly model, accuracy, precision, recall, or F1-score.</w:t>
      </w:r>
    </w:p>
    <w:p>
      <w:pPr>
        <w:pStyle w:val="Heading3"/>
        <w:keepNext/>
        <w:widowControl/>
        <w:spacing w:after="100" w:before="160" w:line="276" w:lineRule="auto"/>
        <w:jc w:val="left"/>
      </w:pPr>
      <w:r>
        <w:rPr>
          <w:rFonts w:ascii="Times New Roman" w:hAnsi="Times New Roman" w:eastAsia="Times New Roman"/>
          <w:b/>
          <w:i w:val="0"/>
          <w:color w:val="000000"/>
          <w:sz w:val="22"/>
        </w:rPr>
        <w:t>8 Detection of Anomalies in Daily Activities Using Data from Smart Meters (2024)</w:t>
      </w:r>
    </w:p>
    <w:p>
      <w:pPr>
        <w:widowControl/>
        <w:spacing w:after="100" w:before="0" w:line="276" w:lineRule="auto"/>
        <w:ind w:firstLine="357"/>
        <w:jc w:val="both"/>
      </w:pPr>
      <w:r>
        <w:rPr>
          <w:rFonts w:ascii="Times New Roman" w:hAnsi="Times New Roman" w:eastAsia="Times New Roman"/>
          <w:b w:val="0"/>
          <w:i w:val="0"/>
          <w:color w:val="000000"/>
          <w:sz w:val="22"/>
        </w:rPr>
        <w:t>This study investigates the use of smart meter data to detect anomalies in the daily activities of residential users. By analysing electricity consumption patterns over time, the proposed approach identifies behavioural deviations that may indicate appliance faults, abnormal energy usage, or unexpected occupant activities. The research highlights the importance of continuous monitoring and data-driven anomaly detection for improving residential energy efficiency.</w:t>
      </w:r>
    </w:p>
    <w:p>
      <w:pPr>
        <w:widowControl/>
        <w:spacing w:after="100" w:before="0" w:line="276" w:lineRule="auto"/>
        <w:ind w:firstLine="357"/>
        <w:jc w:val="both"/>
      </w:pPr>
      <w:r>
        <w:rPr>
          <w:rFonts w:ascii="Times New Roman" w:hAnsi="Times New Roman" w:eastAsia="Times New Roman"/>
          <w:b w:val="0"/>
          <w:i w:val="0"/>
          <w:color w:val="000000"/>
          <w:sz w:val="22"/>
        </w:rPr>
        <w:t>The experimental evaluation demonstrates that analysing daily consumption behaviour can successfully distinguish normal and abnormal usage patterns while reducing unnecessary energy wastage. The study also emphasizes that historical energy data plays a significant role in improving anomaly detection accuracy.</w:t>
      </w:r>
    </w:p>
    <w:p>
      <w:pPr>
        <w:widowControl/>
        <w:spacing w:after="100" w:before="0" w:line="276" w:lineRule="auto"/>
        <w:ind w:firstLine="357"/>
        <w:jc w:val="both"/>
      </w:pPr>
      <w:r>
        <w:rPr>
          <w:rFonts w:ascii="Times New Roman" w:hAnsi="Times New Roman" w:eastAsia="Times New Roman"/>
          <w:b w:val="0"/>
          <w:i w:val="0"/>
          <w:color w:val="000000"/>
          <w:sz w:val="22"/>
        </w:rPr>
        <w:t>However, the research mainly focuses on behavioural analysis and does not provide a scalable backend implementation, secure authentication, or AI-generated recommendations for end users.</w:t>
      </w:r>
    </w:p>
    <w:p>
      <w:pPr>
        <w:widowControl/>
        <w:spacing w:after="100" w:before="0" w:line="276" w:lineRule="auto"/>
        <w:ind w:firstLine="357"/>
        <w:jc w:val="both"/>
      </w:pPr>
      <w:r>
        <w:rPr>
          <w:rFonts w:ascii="Times New Roman" w:hAnsi="Times New Roman" w:eastAsia="Times New Roman"/>
          <w:b w:val="0"/>
          <w:i w:val="0"/>
          <w:color w:val="000000"/>
          <w:sz w:val="22"/>
        </w:rPr>
        <w:t>The study supports the value of historical time-series data. The current prototype stores and queries historical usage but does not infer unusual daily behavior; its active alert condition is a configurable threshold.</w:t>
      </w:r>
    </w:p>
    <w:p>
      <w:pPr>
        <w:pStyle w:val="Heading3"/>
        <w:keepNext/>
        <w:widowControl/>
        <w:spacing w:after="100" w:before="160" w:line="276" w:lineRule="auto"/>
        <w:jc w:val="left"/>
      </w:pPr>
      <w:r>
        <w:rPr>
          <w:rFonts w:ascii="Times New Roman" w:hAnsi="Times New Roman" w:eastAsia="Times New Roman"/>
          <w:b/>
          <w:i w:val="0"/>
          <w:color w:val="000000"/>
          <w:sz w:val="22"/>
        </w:rPr>
        <w:t>2.9 Enhancing Resilience in Complex Energy Systems Through Real-Time Anomaly Detection: A Systematic Literature Review (2024)</w:t>
      </w:r>
    </w:p>
    <w:p>
      <w:pPr>
        <w:widowControl/>
        <w:spacing w:after="100" w:before="0" w:line="276" w:lineRule="auto"/>
        <w:ind w:firstLine="357"/>
        <w:jc w:val="both"/>
      </w:pPr>
      <w:r>
        <w:rPr>
          <w:rFonts w:ascii="Times New Roman" w:hAnsi="Times New Roman" w:eastAsia="Times New Roman"/>
          <w:b w:val="0"/>
          <w:i w:val="0"/>
          <w:color w:val="000000"/>
          <w:sz w:val="22"/>
        </w:rPr>
        <w:t>This systematic literature review investigates the role of anomaly detection in improving the resilience of modern energy systems. The study analyses various anomaly detection techniques, resilience strategies, and operational challenges across complex energy infrastructures.</w:t>
      </w:r>
    </w:p>
    <w:p>
      <w:pPr>
        <w:widowControl/>
        <w:spacing w:after="100" w:before="0" w:line="276" w:lineRule="auto"/>
        <w:ind w:firstLine="357"/>
        <w:jc w:val="both"/>
      </w:pPr>
      <w:r>
        <w:rPr>
          <w:rFonts w:ascii="Times New Roman" w:hAnsi="Times New Roman" w:eastAsia="Times New Roman"/>
          <w:b w:val="0"/>
          <w:i w:val="0"/>
          <w:color w:val="000000"/>
          <w:sz w:val="22"/>
        </w:rPr>
        <w:t>The review identifies several research gaps, including limited resilience validation, insufficient benchmarking, and the absence of standardized evaluation methodologies for real-time energy management systems.</w:t>
      </w:r>
    </w:p>
    <w:p>
      <w:pPr>
        <w:widowControl/>
        <w:spacing w:after="100" w:before="0" w:line="276" w:lineRule="auto"/>
        <w:ind w:firstLine="357"/>
        <w:jc w:val="both"/>
      </w:pPr>
      <w:r>
        <w:rPr>
          <w:rFonts w:ascii="Times New Roman" w:hAnsi="Times New Roman" w:eastAsia="Times New Roman"/>
          <w:b w:val="0"/>
          <w:i w:val="0"/>
          <w:color w:val="000000"/>
          <w:sz w:val="22"/>
        </w:rPr>
        <w:t>Although the paper provides valuable research directions, it does not propose an implementation framework or complete software architecture.</w:t>
      </w:r>
    </w:p>
    <w:p>
      <w:pPr>
        <w:widowControl/>
        <w:spacing w:after="100" w:before="0" w:line="276" w:lineRule="auto"/>
        <w:ind w:firstLine="357"/>
        <w:jc w:val="both"/>
      </w:pPr>
      <w:r>
        <w:rPr>
          <w:rFonts w:ascii="Times New Roman" w:hAnsi="Times New Roman" w:eastAsia="Times New Roman"/>
          <w:b w:val="0"/>
          <w:i w:val="0"/>
          <w:color w:val="000000"/>
          <w:sz w:val="22"/>
        </w:rPr>
        <w:t>This review motivates future resilience experiments. The current service separation and asynchronous messaging supply a design basis, but no fault injection, chaos testing, or resilience result is claimed in this paper.</w:t>
      </w:r>
    </w:p>
    <w:p>
      <w:pPr>
        <w:pStyle w:val="Heading3"/>
        <w:keepNext/>
        <w:widowControl/>
        <w:spacing w:after="100" w:before="160" w:line="276" w:lineRule="auto"/>
        <w:jc w:val="left"/>
      </w:pPr>
      <w:r>
        <w:rPr>
          <w:rFonts w:ascii="Times New Roman" w:hAnsi="Times New Roman" w:eastAsia="Times New Roman"/>
          <w:b/>
          <w:i w:val="0"/>
          <w:color w:val="000000"/>
          <w:sz w:val="22"/>
        </w:rPr>
        <w:t>2.10 Anomaly Detection and Root Cause Analysis of Microservices Energy Consumption (2024)</w:t>
      </w:r>
    </w:p>
    <w:p>
      <w:pPr>
        <w:widowControl/>
        <w:spacing w:after="100" w:before="0" w:line="276" w:lineRule="auto"/>
        <w:ind w:firstLine="357"/>
        <w:jc w:val="both"/>
      </w:pPr>
      <w:r>
        <w:rPr>
          <w:rFonts w:ascii="Times New Roman" w:hAnsi="Times New Roman" w:eastAsia="Times New Roman"/>
          <w:b w:val="0"/>
          <w:i w:val="0"/>
          <w:color w:val="000000"/>
          <w:sz w:val="22"/>
        </w:rPr>
        <w:t>This paper focuses on detecting anomalies in the energy consumption of microservices applications and identifying their root causes. The proposed approach analyses resource utilization patterns to discover inefficient services and abnormal operational behaviour.</w:t>
      </w:r>
    </w:p>
    <w:p>
      <w:pPr>
        <w:widowControl/>
        <w:spacing w:after="100" w:before="0" w:line="276" w:lineRule="auto"/>
        <w:ind w:firstLine="357"/>
        <w:jc w:val="both"/>
      </w:pPr>
      <w:r>
        <w:rPr>
          <w:rFonts w:ascii="Times New Roman" w:hAnsi="Times New Roman" w:eastAsia="Times New Roman"/>
          <w:b w:val="0"/>
          <w:i w:val="0"/>
          <w:color w:val="000000"/>
          <w:sz w:val="22"/>
        </w:rPr>
        <w:t>The experimental evaluation demonstrates that anomaly detection can improve resource utilization and simplify performance optimization in distributed software systems.</w:t>
      </w:r>
    </w:p>
    <w:p>
      <w:pPr>
        <w:widowControl/>
        <w:spacing w:after="100" w:before="0" w:line="276" w:lineRule="auto"/>
        <w:ind w:firstLine="357"/>
        <w:jc w:val="both"/>
      </w:pPr>
      <w:r>
        <w:rPr>
          <w:rFonts w:ascii="Times New Roman" w:hAnsi="Times New Roman" w:eastAsia="Times New Roman"/>
          <w:b w:val="0"/>
          <w:i w:val="0"/>
          <w:color w:val="000000"/>
          <w:sz w:val="22"/>
        </w:rPr>
        <w:t>However, the study concentrates on software microservices rather than residential energy monitoring and does not include IoT integration or consumer-focused analytics.</w:t>
      </w:r>
    </w:p>
    <w:p>
      <w:pPr>
        <w:widowControl/>
        <w:spacing w:after="100" w:before="0" w:line="276" w:lineRule="auto"/>
        <w:ind w:firstLine="357"/>
        <w:jc w:val="both"/>
      </w:pPr>
      <w:r>
        <w:rPr>
          <w:rFonts w:ascii="Times New Roman" w:hAnsi="Times New Roman" w:eastAsia="Times New Roman"/>
          <w:b w:val="0"/>
          <w:i w:val="0"/>
          <w:color w:val="000000"/>
          <w:sz w:val="22"/>
        </w:rPr>
        <w:t>This work informs the importance of monitoring distributed services. The present prototype applies microservice separation to residential energy telemetry and deterministic user-facing outputs; advanced anomaly analysis remains future work.</w:t>
      </w:r>
    </w:p>
    <w:p>
      <w:pPr>
        <w:pStyle w:val="Heading2"/>
        <w:keepNext/>
        <w:widowControl/>
        <w:spacing w:after="100" w:before="160" w:line="276" w:lineRule="auto"/>
        <w:jc w:val="left"/>
      </w:pPr>
      <w:r>
        <w:rPr>
          <w:rFonts w:ascii="Times New Roman" w:hAnsi="Times New Roman" w:eastAsia="Times New Roman"/>
          <w:b/>
          <w:i w:val="0"/>
          <w:color w:val="000000"/>
          <w:sz w:val="24"/>
        </w:rPr>
        <w:t>2.2 RESEARCH GAP</w:t>
      </w:r>
    </w:p>
    <w:p>
      <w:pPr>
        <w:widowControl/>
        <w:spacing w:after="100" w:before="0" w:line="276" w:lineRule="auto"/>
        <w:ind w:firstLine="357"/>
        <w:jc w:val="both"/>
      </w:pPr>
      <w:r>
        <w:rPr>
          <w:rFonts w:ascii="Times New Roman" w:hAnsi="Times New Roman" w:eastAsia="Times New Roman"/>
          <w:b w:val="0"/>
          <w:i w:val="0"/>
          <w:color w:val="000000"/>
          <w:sz w:val="22"/>
        </w:rPr>
        <w:t>Although recent studies have made significant progress in IoT-based energy monitoring, anomaly detection, Artificial Intelligence, and microservices architectures, several important research gaps remain. These limitations reduce the effectiveness of current Home Energy Management Systems in terms of scalability, reliability, intelligence, and real-world deployment. Based on the reviewed literature, the following research gaps have been identified.</w:t>
      </w:r>
    </w:p>
    <w:p>
      <w:pPr>
        <w:pStyle w:val="Heading3"/>
        <w:keepNext/>
        <w:widowControl/>
        <w:spacing w:after="100" w:before="160" w:line="276" w:lineRule="auto"/>
        <w:jc w:val="left"/>
      </w:pPr>
      <w:r>
        <w:rPr>
          <w:rFonts w:ascii="Times New Roman" w:hAnsi="Times New Roman" w:eastAsia="Times New Roman"/>
          <w:b/>
          <w:i w:val="0"/>
          <w:color w:val="000000"/>
          <w:sz w:val="22"/>
        </w:rPr>
        <w:t>Gap 1 – Lack of Standardized Benchmark Datasets and Evaluation Metrics</w:t>
      </w:r>
    </w:p>
    <w:p>
      <w:pPr>
        <w:widowControl/>
        <w:spacing w:after="100" w:before="0" w:line="276" w:lineRule="auto"/>
        <w:ind w:firstLine="357"/>
        <w:jc w:val="both"/>
      </w:pPr>
      <w:r>
        <w:rPr>
          <w:rFonts w:ascii="Times New Roman" w:hAnsi="Times New Roman" w:eastAsia="Times New Roman"/>
          <w:b w:val="0"/>
          <w:i w:val="0"/>
          <w:color w:val="000000"/>
          <w:sz w:val="22"/>
        </w:rPr>
        <w:t>One of the major challenges identified in the literature is the absence of standardized benchmark datasets and unified evaluation metrics for home energy anomaly detection. Most existing studies evaluate their algorithms using different datasets, experimental environments, and performance measures, making it difficult to compare results fairly. Furthermore, several studies highlight the shortage of annotated datasets and clearly defined ground truth labels for abnormal power consumption.</w:t>
      </w:r>
    </w:p>
    <w:p>
      <w:pPr>
        <w:widowControl/>
        <w:spacing w:after="100" w:before="0" w:line="276" w:lineRule="auto"/>
        <w:ind w:firstLine="357"/>
        <w:jc w:val="both"/>
      </w:pPr>
      <w:r>
        <w:rPr>
          <w:rFonts w:ascii="Times New Roman" w:hAnsi="Times New Roman" w:eastAsia="Times New Roman"/>
          <w:b w:val="0"/>
          <w:i w:val="0"/>
          <w:color w:val="000000"/>
          <w:sz w:val="22"/>
        </w:rPr>
        <w:t>Supporting Papers:</w:t>
      </w:r>
    </w:p>
    <w:p>
      <w:pPr>
        <w:widowControl/>
        <w:spacing w:after="100" w:before="0" w:line="276" w:lineRule="auto"/>
        <w:ind w:firstLine="357"/>
        <w:jc w:val="both"/>
      </w:pPr>
      <w:r>
        <w:rPr>
          <w:rFonts w:ascii="Times New Roman" w:hAnsi="Times New Roman" w:eastAsia="Times New Roman"/>
          <w:b w:val="0"/>
          <w:i w:val="0"/>
          <w:color w:val="000000"/>
          <w:sz w:val="22"/>
        </w:rPr>
        <w:t>• Artificial Intelligence-Based Anomaly Detection of Energy Consumption in Buildings (2021)</w:t>
      </w:r>
    </w:p>
    <w:p>
      <w:pPr>
        <w:widowControl/>
        <w:spacing w:after="100" w:before="0" w:line="276" w:lineRule="auto"/>
        <w:ind w:firstLine="357"/>
        <w:jc w:val="both"/>
      </w:pPr>
      <w:r>
        <w:rPr>
          <w:rFonts w:ascii="Times New Roman" w:hAnsi="Times New Roman" w:eastAsia="Times New Roman"/>
          <w:b w:val="0"/>
          <w:i w:val="0"/>
          <w:color w:val="000000"/>
          <w:sz w:val="22"/>
        </w:rPr>
        <w:t>• IoT Anomaly Detection Methods and Applications: A Survey (2022)</w:t>
      </w:r>
    </w:p>
    <w:p>
      <w:pPr>
        <w:widowControl/>
        <w:spacing w:after="100" w:before="0" w:line="276" w:lineRule="auto"/>
        <w:ind w:firstLine="357"/>
        <w:jc w:val="both"/>
      </w:pPr>
      <w:r>
        <w:rPr>
          <w:rFonts w:ascii="Times New Roman" w:hAnsi="Times New Roman" w:eastAsia="Times New Roman"/>
          <w:b w:val="0"/>
          <w:i w:val="0"/>
          <w:color w:val="000000"/>
          <w:sz w:val="22"/>
        </w:rPr>
        <w:t>• Anomaly Detection and Root Cause Analysis of Microservices Energy Consumption (2024)</w:t>
      </w:r>
    </w:p>
    <w:p>
      <w:pPr>
        <w:widowControl/>
        <w:spacing w:after="100" w:before="0" w:line="276" w:lineRule="auto"/>
        <w:ind w:firstLine="357"/>
        <w:jc w:val="both"/>
      </w:pPr>
      <w:r>
        <w:rPr>
          <w:rFonts w:ascii="Times New Roman" w:hAnsi="Times New Roman" w:eastAsia="Times New Roman"/>
          <w:b w:val="0"/>
          <w:i w:val="0"/>
          <w:color w:val="000000"/>
          <w:sz w:val="22"/>
        </w:rPr>
        <w:t>Research Opportunity:</w:t>
      </w:r>
    </w:p>
    <w:p>
      <w:pPr>
        <w:widowControl/>
        <w:spacing w:after="100" w:before="0" w:line="276" w:lineRule="auto"/>
        <w:ind w:firstLine="357"/>
        <w:jc w:val="both"/>
      </w:pPr>
      <w:r>
        <w:rPr>
          <w:rFonts w:ascii="Times New Roman" w:hAnsi="Times New Roman" w:eastAsia="Times New Roman"/>
          <w:b w:val="0"/>
          <w:i w:val="0"/>
          <w:color w:val="000000"/>
          <w:sz w:val="22"/>
        </w:rPr>
        <w:t>Future systems should support standardized evaluation methodologies and utilize consistent datasets for reliable comparison of anomaly detection techniques.</w:t>
      </w:r>
    </w:p>
    <w:p>
      <w:pPr>
        <w:widowControl/>
        <w:spacing w:after="100" w:before="0" w:line="276" w:lineRule="auto"/>
        <w:ind w:firstLine="357"/>
        <w:jc w:val="both"/>
      </w:pPr>
      <w:r>
        <w:rPr>
          <w:rFonts w:ascii="Times New Roman" w:hAnsi="Times New Roman" w:eastAsia="Times New Roman"/>
          <w:b w:val="0"/>
          <w:i w:val="0"/>
          <w:color w:val="000000"/>
          <w:sz w:val="22"/>
        </w:rPr>
        <w:t>Evidence: The uploaded research-gap document explicitly identifies the absence of standardized benchmarks, annotated datasets, unified metrics, and clear anomaly definitions as a major unresolved issue.</w:t>
      </w:r>
    </w:p>
    <w:p>
      <w:pPr>
        <w:pStyle w:val="Heading3"/>
        <w:keepNext/>
        <w:widowControl/>
        <w:spacing w:after="100" w:before="160" w:line="276" w:lineRule="auto"/>
        <w:jc w:val="left"/>
      </w:pPr>
      <w:r>
        <w:rPr>
          <w:rFonts w:ascii="Times New Roman" w:hAnsi="Times New Roman" w:eastAsia="Times New Roman"/>
          <w:b/>
          <w:i w:val="0"/>
          <w:color w:val="000000"/>
          <w:sz w:val="22"/>
        </w:rPr>
        <w:t>Gap 2 – Limited Context-Aware Energy Analysis</w:t>
      </w:r>
    </w:p>
    <w:p>
      <w:pPr>
        <w:widowControl/>
        <w:spacing w:after="100" w:before="0" w:line="276" w:lineRule="auto"/>
        <w:ind w:firstLine="357"/>
        <w:jc w:val="both"/>
      </w:pPr>
      <w:r>
        <w:rPr>
          <w:rFonts w:ascii="Times New Roman" w:hAnsi="Times New Roman" w:eastAsia="Times New Roman"/>
          <w:b w:val="0"/>
          <w:i w:val="0"/>
          <w:color w:val="000000"/>
          <w:sz w:val="22"/>
        </w:rPr>
        <w:t>Most existing anomaly detection systems identify abnormal energy consumption by analyzing electrical parameters alone. However, they often ignore contextual information such as occupancy behaviour, environmental conditions, appliance usage schedules, or user activities. The absence of contextual awareness increases false-positive alerts because unusual electricity usage may still represent normal user behaviour under certain circumstances.</w:t>
      </w:r>
    </w:p>
    <w:p>
      <w:pPr>
        <w:widowControl/>
        <w:spacing w:after="100" w:before="0" w:line="276" w:lineRule="auto"/>
        <w:ind w:firstLine="357"/>
        <w:jc w:val="both"/>
      </w:pPr>
      <w:r>
        <w:rPr>
          <w:rFonts w:ascii="Times New Roman" w:hAnsi="Times New Roman" w:eastAsia="Times New Roman"/>
          <w:b w:val="0"/>
          <w:i w:val="0"/>
          <w:color w:val="000000"/>
          <w:sz w:val="22"/>
        </w:rPr>
        <w:t>Supporting Papers:</w:t>
      </w:r>
    </w:p>
    <w:p>
      <w:pPr>
        <w:widowControl/>
        <w:spacing w:after="100" w:before="0" w:line="276" w:lineRule="auto"/>
        <w:ind w:firstLine="357"/>
        <w:jc w:val="both"/>
      </w:pPr>
      <w:r>
        <w:rPr>
          <w:rFonts w:ascii="Times New Roman" w:hAnsi="Times New Roman" w:eastAsia="Times New Roman"/>
          <w:b w:val="0"/>
          <w:i w:val="0"/>
          <w:color w:val="000000"/>
          <w:sz w:val="22"/>
        </w:rPr>
        <w:t>• Artificial Intelligence-Based Anomaly Detection of Energy Consumption in Buildings (2021)</w:t>
      </w:r>
    </w:p>
    <w:p>
      <w:pPr>
        <w:widowControl/>
        <w:spacing w:after="100" w:before="0" w:line="276" w:lineRule="auto"/>
        <w:ind w:firstLine="357"/>
        <w:jc w:val="both"/>
      </w:pPr>
      <w:r>
        <w:rPr>
          <w:rFonts w:ascii="Times New Roman" w:hAnsi="Times New Roman" w:eastAsia="Times New Roman"/>
          <w:b w:val="0"/>
          <w:i w:val="0"/>
          <w:color w:val="000000"/>
          <w:sz w:val="22"/>
        </w:rPr>
        <w:t>• Detection of Anomalies in Daily Activities Using Data from Smart Meters (2024)</w:t>
      </w:r>
    </w:p>
    <w:p>
      <w:pPr>
        <w:widowControl/>
        <w:spacing w:after="100" w:before="0" w:line="276" w:lineRule="auto"/>
        <w:ind w:firstLine="357"/>
        <w:jc w:val="both"/>
      </w:pPr>
      <w:r>
        <w:rPr>
          <w:rFonts w:ascii="Times New Roman" w:hAnsi="Times New Roman" w:eastAsia="Times New Roman"/>
          <w:b w:val="0"/>
          <w:i w:val="0"/>
          <w:color w:val="000000"/>
          <w:sz w:val="22"/>
        </w:rPr>
        <w:t>• IoT Anomaly Detection Methods and Applications: A Survey (2022)</w:t>
      </w:r>
    </w:p>
    <w:p>
      <w:pPr>
        <w:widowControl/>
        <w:spacing w:after="100" w:before="0" w:line="276" w:lineRule="auto"/>
        <w:ind w:firstLine="357"/>
        <w:jc w:val="both"/>
      </w:pPr>
      <w:r>
        <w:rPr>
          <w:rFonts w:ascii="Times New Roman" w:hAnsi="Times New Roman" w:eastAsia="Times New Roman"/>
          <w:b w:val="0"/>
          <w:i w:val="0"/>
          <w:color w:val="000000"/>
          <w:sz w:val="22"/>
        </w:rPr>
        <w:t>Research Opportunity:</w:t>
      </w:r>
    </w:p>
    <w:p>
      <w:pPr>
        <w:widowControl/>
        <w:spacing w:after="100" w:before="0" w:line="276" w:lineRule="auto"/>
        <w:ind w:firstLine="357"/>
        <w:jc w:val="both"/>
      </w:pPr>
      <w:r>
        <w:rPr>
          <w:rFonts w:ascii="Times New Roman" w:hAnsi="Times New Roman" w:eastAsia="Times New Roman"/>
          <w:b w:val="0"/>
          <w:i w:val="0"/>
          <w:color w:val="000000"/>
          <w:sz w:val="22"/>
        </w:rPr>
        <w:t>Future Home Energy Management Systems should incorporate richer contextual information to improve anomaly detection accuracy and reduce unnecessary alerts.</w:t>
      </w:r>
    </w:p>
    <w:p>
      <w:pPr>
        <w:widowControl/>
        <w:spacing w:after="100" w:before="0" w:line="276" w:lineRule="auto"/>
        <w:ind w:firstLine="357"/>
        <w:jc w:val="both"/>
      </w:pPr>
      <w:r>
        <w:rPr>
          <w:rFonts w:ascii="Times New Roman" w:hAnsi="Times New Roman" w:eastAsia="Times New Roman"/>
          <w:b w:val="0"/>
          <w:i w:val="0"/>
          <w:color w:val="000000"/>
          <w:sz w:val="22"/>
        </w:rPr>
        <w:t>Evidence: The uploaded gap analysis identifies missing contextual awareness as a key cause of false positives in current studies</w:t>
      </w:r>
    </w:p>
    <w:p>
      <w:pPr>
        <w:pStyle w:val="Heading3"/>
        <w:keepNext/>
        <w:widowControl/>
        <w:spacing w:after="100" w:before="160" w:line="276" w:lineRule="auto"/>
        <w:jc w:val="left"/>
      </w:pPr>
      <w:r>
        <w:rPr>
          <w:rFonts w:ascii="Times New Roman" w:hAnsi="Times New Roman" w:eastAsia="Times New Roman"/>
          <w:b/>
          <w:i w:val="0"/>
          <w:color w:val="000000"/>
          <w:sz w:val="22"/>
        </w:rPr>
        <w:t>Gap 3 – Insufficient Validation of Microservice Resilience</w:t>
      </w:r>
    </w:p>
    <w:p>
      <w:pPr>
        <w:widowControl/>
        <w:spacing w:after="100" w:before="0" w:line="276" w:lineRule="auto"/>
        <w:ind w:firstLine="357"/>
        <w:jc w:val="both"/>
      </w:pPr>
      <w:r>
        <w:rPr>
          <w:rFonts w:ascii="Times New Roman" w:hAnsi="Times New Roman" w:eastAsia="Times New Roman"/>
          <w:b w:val="0"/>
          <w:i w:val="0"/>
          <w:color w:val="000000"/>
          <w:sz w:val="22"/>
        </w:rPr>
        <w:t>Although many recent studies recommend microservices because of their scalability and fault tolerance, very few validate these claims through resilience testing. Most systems are evaluated under controlled laboratory environments rather than realistic production scenarios involving service failures, communication interruptions, or cascading faults. Consequently, the practical resilience of many proposed architectures remains uncertain.</w:t>
      </w:r>
    </w:p>
    <w:p>
      <w:pPr>
        <w:widowControl/>
        <w:spacing w:after="100" w:before="0" w:line="276" w:lineRule="auto"/>
        <w:ind w:firstLine="357"/>
        <w:jc w:val="both"/>
      </w:pPr>
      <w:r>
        <w:rPr>
          <w:rFonts w:ascii="Times New Roman" w:hAnsi="Times New Roman" w:eastAsia="Times New Roman"/>
          <w:b w:val="0"/>
          <w:i w:val="0"/>
          <w:color w:val="000000"/>
          <w:sz w:val="22"/>
        </w:rPr>
        <w:t>Supporting Papers:</w:t>
      </w:r>
    </w:p>
    <w:p>
      <w:pPr>
        <w:widowControl/>
        <w:spacing w:after="100" w:before="0" w:line="276" w:lineRule="auto"/>
        <w:ind w:firstLine="357"/>
        <w:jc w:val="both"/>
      </w:pPr>
      <w:r>
        <w:rPr>
          <w:rFonts w:ascii="Times New Roman" w:hAnsi="Times New Roman" w:eastAsia="Times New Roman"/>
          <w:b w:val="0"/>
          <w:i w:val="0"/>
          <w:color w:val="000000"/>
          <w:sz w:val="22"/>
        </w:rPr>
        <w:t>• Edge Computing and Microservices Middleware for Home Energy Management Systems (2022)</w:t>
      </w:r>
    </w:p>
    <w:p>
      <w:pPr>
        <w:widowControl/>
        <w:spacing w:after="100" w:before="0" w:line="276" w:lineRule="auto"/>
        <w:ind w:firstLine="357"/>
        <w:jc w:val="both"/>
      </w:pPr>
      <w:r>
        <w:rPr>
          <w:rFonts w:ascii="Times New Roman" w:hAnsi="Times New Roman" w:eastAsia="Times New Roman"/>
          <w:b w:val="0"/>
          <w:i w:val="0"/>
          <w:color w:val="000000"/>
          <w:sz w:val="22"/>
        </w:rPr>
        <w:t>• Enhancing Resilience in Complex Energy Systems Through Real-Time Anomaly Detection (2024)</w:t>
      </w:r>
    </w:p>
    <w:p>
      <w:pPr>
        <w:widowControl/>
        <w:spacing w:after="100" w:before="0" w:line="276" w:lineRule="auto"/>
        <w:ind w:firstLine="357"/>
        <w:jc w:val="both"/>
      </w:pPr>
      <w:r>
        <w:rPr>
          <w:rFonts w:ascii="Times New Roman" w:hAnsi="Times New Roman" w:eastAsia="Times New Roman"/>
          <w:b w:val="0"/>
          <w:i w:val="0"/>
          <w:color w:val="000000"/>
          <w:sz w:val="22"/>
        </w:rPr>
        <w:t>• A Microservices-Based Solution with Hybrid Communication for Energy Management in Smart Grid Environments (2026)</w:t>
      </w:r>
    </w:p>
    <w:p>
      <w:pPr>
        <w:widowControl/>
        <w:spacing w:after="100" w:before="0" w:line="276" w:lineRule="auto"/>
        <w:ind w:firstLine="357"/>
        <w:jc w:val="both"/>
      </w:pPr>
      <w:r>
        <w:rPr>
          <w:rFonts w:ascii="Times New Roman" w:hAnsi="Times New Roman" w:eastAsia="Times New Roman"/>
          <w:b w:val="0"/>
          <w:i w:val="0"/>
          <w:color w:val="000000"/>
          <w:sz w:val="22"/>
        </w:rPr>
        <w:t>Research Opportunity:</w:t>
      </w:r>
    </w:p>
    <w:p>
      <w:pPr>
        <w:widowControl/>
        <w:spacing w:after="100" w:before="0" w:line="276" w:lineRule="auto"/>
        <w:ind w:firstLine="357"/>
        <w:jc w:val="both"/>
      </w:pPr>
      <w:r>
        <w:rPr>
          <w:rFonts w:ascii="Times New Roman" w:hAnsi="Times New Roman" w:eastAsia="Times New Roman"/>
          <w:b w:val="0"/>
          <w:i w:val="0"/>
          <w:color w:val="000000"/>
          <w:sz w:val="22"/>
        </w:rPr>
        <w:t>Future research should investigate resilience validation techniques, fault injection experiments, and large-scale deployment testing to verify the robustness of microservices-based energy platforms.</w:t>
      </w:r>
    </w:p>
    <w:p>
      <w:pPr>
        <w:widowControl/>
        <w:spacing w:after="100" w:before="0" w:line="276" w:lineRule="auto"/>
        <w:ind w:firstLine="357"/>
        <w:jc w:val="both"/>
      </w:pPr>
      <w:r>
        <w:rPr>
          <w:rFonts w:ascii="Times New Roman" w:hAnsi="Times New Roman" w:eastAsia="Times New Roman"/>
          <w:b w:val="0"/>
          <w:i w:val="0"/>
          <w:color w:val="000000"/>
          <w:sz w:val="22"/>
        </w:rPr>
        <w:t>Evidence: The uploaded research-gap document calls this the most striking gap, noting the near absence of resilience testing and chaos engineering despite frequent claims of fault tolerance.</w:t>
      </w:r>
    </w:p>
    <w:p>
      <w:pPr>
        <w:pStyle w:val="Heading3"/>
        <w:keepNext/>
        <w:widowControl/>
        <w:spacing w:after="100" w:before="160" w:line="276" w:lineRule="auto"/>
        <w:jc w:val="left"/>
      </w:pPr>
      <w:r>
        <w:rPr>
          <w:rFonts w:ascii="Times New Roman" w:hAnsi="Times New Roman" w:eastAsia="Times New Roman"/>
          <w:b/>
          <w:i w:val="0"/>
          <w:color w:val="000000"/>
          <w:sz w:val="22"/>
        </w:rPr>
        <w:t>Gap 4 – Limited Privacy-Preserving AI Integration</w:t>
      </w:r>
    </w:p>
    <w:p>
      <w:pPr>
        <w:widowControl/>
        <w:spacing w:after="100" w:before="0" w:line="276" w:lineRule="auto"/>
        <w:ind w:firstLine="357"/>
        <w:jc w:val="both"/>
      </w:pPr>
      <w:r>
        <w:rPr>
          <w:rFonts w:ascii="Times New Roman" w:hAnsi="Times New Roman" w:eastAsia="Times New Roman"/>
          <w:b w:val="0"/>
          <w:i w:val="0"/>
          <w:color w:val="000000"/>
          <w:sz w:val="22"/>
        </w:rPr>
        <w:t>Many existing energy monitoring systems successfully perform anomaly detection and predictive analytics but provide limited discussion on privacy-preserving AI architectures. Most solutions depend on centralized processing of user data without considering privacy concerns associated with residential energy consumption. The integration of secure authentication, local AI inference, and privacy-aware system design remains relatively limited.</w:t>
      </w:r>
    </w:p>
    <w:p>
      <w:pPr>
        <w:widowControl/>
        <w:spacing w:after="100" w:before="0" w:line="276" w:lineRule="auto"/>
        <w:ind w:firstLine="357"/>
        <w:jc w:val="both"/>
      </w:pPr>
      <w:r>
        <w:rPr>
          <w:rFonts w:ascii="Times New Roman" w:hAnsi="Times New Roman" w:eastAsia="Times New Roman"/>
          <w:b w:val="0"/>
          <w:i w:val="0"/>
          <w:color w:val="000000"/>
          <w:sz w:val="22"/>
        </w:rPr>
        <w:t>Supporting Papers:</w:t>
      </w:r>
    </w:p>
    <w:p>
      <w:pPr>
        <w:widowControl/>
        <w:spacing w:after="100" w:before="0" w:line="276" w:lineRule="auto"/>
        <w:ind w:firstLine="357"/>
        <w:jc w:val="both"/>
      </w:pPr>
      <w:r>
        <w:rPr>
          <w:rFonts w:ascii="Times New Roman" w:hAnsi="Times New Roman" w:eastAsia="Times New Roman"/>
          <w:b w:val="0"/>
          <w:i w:val="0"/>
          <w:color w:val="000000"/>
          <w:sz w:val="22"/>
        </w:rPr>
        <w:t>• Artificial Intelligence Based Anomaly Detection of Energy Consumption in Buildings (2021)</w:t>
      </w:r>
    </w:p>
    <w:p>
      <w:pPr>
        <w:widowControl/>
        <w:spacing w:after="100" w:before="0" w:line="276" w:lineRule="auto"/>
        <w:ind w:firstLine="357"/>
        <w:jc w:val="both"/>
      </w:pPr>
      <w:r>
        <w:rPr>
          <w:rFonts w:ascii="Times New Roman" w:hAnsi="Times New Roman" w:eastAsia="Times New Roman"/>
          <w:b w:val="0"/>
          <w:i w:val="0"/>
          <w:color w:val="000000"/>
          <w:sz w:val="22"/>
        </w:rPr>
        <w:t>• IoT Anomaly Detection Methods and Applications: A Survey (2022)</w:t>
      </w:r>
    </w:p>
    <w:p>
      <w:pPr>
        <w:widowControl/>
        <w:spacing w:after="100" w:before="0" w:line="276" w:lineRule="auto"/>
        <w:ind w:firstLine="357"/>
        <w:jc w:val="both"/>
      </w:pPr>
      <w:r>
        <w:rPr>
          <w:rFonts w:ascii="Times New Roman" w:hAnsi="Times New Roman" w:eastAsia="Times New Roman"/>
          <w:b w:val="0"/>
          <w:i w:val="0"/>
          <w:color w:val="000000"/>
          <w:sz w:val="22"/>
        </w:rPr>
        <w:t>• Smart Metering Meets AI: Real-Time Appliance Monitoring and Anomaly Detection Over DDS Middleware (2025)</w:t>
      </w:r>
    </w:p>
    <w:p>
      <w:pPr>
        <w:widowControl/>
        <w:spacing w:after="100" w:before="0" w:line="276" w:lineRule="auto"/>
        <w:ind w:firstLine="357"/>
        <w:jc w:val="both"/>
      </w:pPr>
      <w:r>
        <w:rPr>
          <w:rFonts w:ascii="Times New Roman" w:hAnsi="Times New Roman" w:eastAsia="Times New Roman"/>
          <w:b w:val="0"/>
          <w:i w:val="0"/>
          <w:color w:val="000000"/>
          <w:sz w:val="22"/>
        </w:rPr>
        <w:t>Research Opportunity:</w:t>
      </w:r>
    </w:p>
    <w:p>
      <w:pPr>
        <w:widowControl/>
        <w:spacing w:after="100" w:before="0" w:line="276" w:lineRule="auto"/>
        <w:ind w:firstLine="357"/>
        <w:jc w:val="both"/>
      </w:pPr>
      <w:r>
        <w:rPr>
          <w:rFonts w:ascii="Times New Roman" w:hAnsi="Times New Roman" w:eastAsia="Times New Roman"/>
          <w:b w:val="0"/>
          <w:i w:val="0"/>
          <w:color w:val="000000"/>
          <w:sz w:val="22"/>
        </w:rPr>
        <w:t>Future systems should investigate secure authentication mechanisms and privacy-conscious AI deployment for intelligent residential energy management.</w:t>
      </w:r>
    </w:p>
    <w:p>
      <w:pPr>
        <w:widowControl/>
        <w:spacing w:after="100" w:before="0" w:line="276" w:lineRule="auto"/>
        <w:ind w:firstLine="357"/>
        <w:jc w:val="both"/>
      </w:pPr>
      <w:r>
        <w:rPr>
          <w:rFonts w:ascii="Times New Roman" w:hAnsi="Times New Roman" w:eastAsia="Times New Roman"/>
          <w:b w:val="0"/>
          <w:i w:val="0"/>
          <w:color w:val="000000"/>
          <w:sz w:val="22"/>
        </w:rPr>
        <w:t>Evidence: The uploaded research-gap summary lists insufficient integration of privacy-preserving, real-time architectures as one of the unresolved limitations.</w:t>
      </w:r>
    </w:p>
    <w:p>
      <w:pPr>
        <w:pStyle w:val="Heading3"/>
        <w:keepNext/>
        <w:widowControl/>
        <w:spacing w:after="100" w:before="160" w:line="276" w:lineRule="auto"/>
        <w:jc w:val="left"/>
      </w:pPr>
      <w:r>
        <w:rPr>
          <w:rFonts w:ascii="Times New Roman" w:hAnsi="Times New Roman" w:eastAsia="Times New Roman"/>
          <w:b/>
          <w:i w:val="0"/>
          <w:color w:val="000000"/>
          <w:sz w:val="22"/>
        </w:rPr>
        <w:t>Gap 5 – Limited Integration of Scalable AI with Event-Driven Microservices</w:t>
      </w:r>
    </w:p>
    <w:p>
      <w:pPr>
        <w:widowControl/>
        <w:spacing w:after="100" w:before="0" w:line="276" w:lineRule="auto"/>
        <w:ind w:firstLine="357"/>
        <w:jc w:val="both"/>
      </w:pPr>
      <w:r>
        <w:rPr>
          <w:rFonts w:ascii="Times New Roman" w:hAnsi="Times New Roman" w:eastAsia="Times New Roman"/>
          <w:b w:val="0"/>
          <w:i w:val="0"/>
          <w:color w:val="000000"/>
          <w:sz w:val="22"/>
        </w:rPr>
        <w:t>Current literature generally addresses either scalable microservices architecture or AI-based anomaly detection independently. Very few studies combine distributed microservices, real-time event streaming, time-series databases, intelligent alert generation, and AI-powered decision support into a unified backend platform for residential energy monitoring.</w:t>
      </w:r>
    </w:p>
    <w:p>
      <w:pPr>
        <w:widowControl/>
        <w:spacing w:after="100" w:before="0" w:line="276" w:lineRule="auto"/>
        <w:ind w:firstLine="357"/>
        <w:jc w:val="both"/>
      </w:pPr>
      <w:r>
        <w:rPr>
          <w:rFonts w:ascii="Times New Roman" w:hAnsi="Times New Roman" w:eastAsia="Times New Roman"/>
          <w:b w:val="0"/>
          <w:i w:val="0"/>
          <w:color w:val="000000"/>
          <w:sz w:val="22"/>
        </w:rPr>
        <w:t>Supporting Papers:</w:t>
      </w:r>
    </w:p>
    <w:p>
      <w:pPr>
        <w:widowControl/>
        <w:spacing w:after="100" w:before="0" w:line="276" w:lineRule="auto"/>
        <w:ind w:firstLine="357"/>
        <w:jc w:val="both"/>
      </w:pPr>
      <w:r>
        <w:rPr>
          <w:rFonts w:ascii="Times New Roman" w:hAnsi="Times New Roman" w:eastAsia="Times New Roman"/>
          <w:b w:val="0"/>
          <w:i w:val="0"/>
          <w:color w:val="000000"/>
          <w:sz w:val="22"/>
        </w:rPr>
        <w:t>• Smart Metering Meets AI (2026)</w:t>
      </w:r>
    </w:p>
    <w:p>
      <w:pPr>
        <w:widowControl/>
        <w:spacing w:after="100" w:before="0" w:line="276" w:lineRule="auto"/>
        <w:ind w:firstLine="357"/>
        <w:jc w:val="both"/>
      </w:pPr>
      <w:r>
        <w:rPr>
          <w:rFonts w:ascii="Times New Roman" w:hAnsi="Times New Roman" w:eastAsia="Times New Roman"/>
          <w:b w:val="0"/>
          <w:i w:val="0"/>
          <w:color w:val="000000"/>
          <w:sz w:val="22"/>
        </w:rPr>
        <w:t>• Design of a Microservices-Based Architecture for Residential Energy Monitoring (2024)</w:t>
      </w:r>
    </w:p>
    <w:p>
      <w:pPr>
        <w:widowControl/>
        <w:spacing w:after="100" w:before="0" w:line="276" w:lineRule="auto"/>
        <w:ind w:firstLine="357"/>
        <w:jc w:val="both"/>
      </w:pPr>
      <w:r>
        <w:rPr>
          <w:rFonts w:ascii="Times New Roman" w:hAnsi="Times New Roman" w:eastAsia="Times New Roman"/>
          <w:b w:val="0"/>
          <w:i w:val="0"/>
          <w:color w:val="000000"/>
          <w:sz w:val="22"/>
        </w:rPr>
        <w:t>• A Cloud Architecture for Home Energy Management Systems (2025)</w:t>
      </w:r>
    </w:p>
    <w:p>
      <w:pPr>
        <w:widowControl/>
        <w:spacing w:after="100" w:before="0" w:line="276" w:lineRule="auto"/>
        <w:ind w:firstLine="357"/>
        <w:jc w:val="both"/>
      </w:pPr>
      <w:r>
        <w:rPr>
          <w:rFonts w:ascii="Times New Roman" w:hAnsi="Times New Roman" w:eastAsia="Times New Roman"/>
          <w:b w:val="0"/>
          <w:i w:val="0"/>
          <w:color w:val="000000"/>
          <w:sz w:val="22"/>
        </w:rPr>
        <w:t>• A Microservices-Based Solution with Hybrid Communication for Energy Management in Smart Grid Environments (2026)</w:t>
      </w:r>
    </w:p>
    <w:p>
      <w:pPr>
        <w:widowControl/>
        <w:spacing w:after="100" w:before="0" w:line="276" w:lineRule="auto"/>
        <w:ind w:firstLine="357"/>
        <w:jc w:val="both"/>
      </w:pPr>
      <w:r>
        <w:rPr>
          <w:rFonts w:ascii="Times New Roman" w:hAnsi="Times New Roman" w:eastAsia="Times New Roman"/>
          <w:b w:val="0"/>
          <w:i w:val="0"/>
          <w:color w:val="000000"/>
          <w:sz w:val="22"/>
        </w:rPr>
        <w:t>Research Opportunity:</w:t>
      </w:r>
    </w:p>
    <w:p>
      <w:pPr>
        <w:widowControl/>
        <w:spacing w:after="100" w:before="0" w:line="276" w:lineRule="auto"/>
        <w:ind w:firstLine="357"/>
        <w:jc w:val="both"/>
      </w:pPr>
      <w:r>
        <w:rPr>
          <w:rFonts w:ascii="Times New Roman" w:hAnsi="Times New Roman" w:eastAsia="Times New Roman"/>
          <w:b w:val="0"/>
          <w:i w:val="0"/>
          <w:color w:val="000000"/>
          <w:sz w:val="22"/>
        </w:rPr>
        <w:t>Developing a unified platform that integrates event-driven microservices, secure authentication, historical time-series analytics, AI-generated insights, and intelligent alerting remains an open research direction for Home Energy Management Systems.</w:t>
      </w:r>
    </w:p>
    <w:p>
      <w:pPr>
        <w:widowControl/>
        <w:spacing w:after="100" w:before="0" w:line="276" w:lineRule="auto"/>
        <w:ind w:firstLine="357"/>
        <w:jc w:val="both"/>
      </w:pPr>
      <w:r>
        <w:rPr>
          <w:rFonts w:ascii="Times New Roman" w:hAnsi="Times New Roman" w:eastAsia="Times New Roman"/>
          <w:b w:val="0"/>
          <w:i w:val="0"/>
          <w:color w:val="000000"/>
          <w:sz w:val="22"/>
        </w:rPr>
        <w:t>Evidence: This gap is consistent with the uploaded evidence showing support for real-time monitoring, anomaly detection, and scalable microservices individually, while motivating an integrated Home Energy Tracker architecture.</w:t>
      </w:r>
    </w:p>
    <w:p>
      <w:pPr>
        <w:widowControl/>
        <w:spacing w:after="100" w:before="0" w:line="276" w:lineRule="auto"/>
        <w:ind w:firstLine="357"/>
        <w:jc w:val="both"/>
      </w:pPr>
      <w:r>
        <w:rPr>
          <w:rFonts w:ascii="Times New Roman" w:hAnsi="Times New Roman" w:eastAsia="Times New Roman"/>
          <w:b w:val="0"/>
          <w:i w:val="0"/>
          <w:color w:val="000000"/>
          <w:sz w:val="22"/>
        </w:rPr>
        <w:t>The present prototype directly addresses Gap 5 at the system-integration level by linking simulated telemetry, event-driven microservices, time-series storage, deterministic decision support, and alert delivery. Gaps concerning standardized datasets, contextual analysis, resilience validation, and privacy-preserving access control are not resolved; they are retained as explicit limitations and future work.</w:t>
      </w:r>
    </w:p>
    <w:p>
      <w:pPr>
        <w:pStyle w:val="Heading2"/>
        <w:keepNext/>
        <w:widowControl/>
        <w:spacing w:after="100" w:before="160" w:line="276" w:lineRule="auto"/>
        <w:jc w:val="left"/>
      </w:pPr>
      <w:r>
        <w:rPr>
          <w:rFonts w:ascii="Times New Roman" w:hAnsi="Times New Roman" w:eastAsia="Times New Roman"/>
          <w:b/>
          <w:i w:val="0"/>
          <w:color w:val="000000"/>
          <w:sz w:val="24"/>
        </w:rPr>
        <w:t>2.3 NOVELTY OF THE PROPOSED WORK</w:t>
      </w:r>
    </w:p>
    <w:p>
      <w:pPr>
        <w:widowControl/>
        <w:spacing w:after="100" w:before="0" w:line="276" w:lineRule="auto"/>
        <w:ind w:firstLine="357"/>
        <w:jc w:val="both"/>
      </w:pPr>
      <w:r>
        <w:rPr>
          <w:rFonts w:ascii="Times New Roman" w:hAnsi="Times New Roman" w:eastAsia="Times New Roman"/>
          <w:b w:val="0"/>
          <w:i w:val="0"/>
          <w:color w:val="000000"/>
          <w:sz w:val="22"/>
        </w:rPr>
        <w:t>The novelty of the work is the implementation and traceable verification of a compact residential-energy prototype that combines a Wokwi telemetry interface, independently deployable Spring Boot services, Kafka event transfer, InfluxDB time-series storage, deterministic insight computation, and a threshold-alert path in one workflow. The contribution is not a new anomaly-detection algorithm, a calibrated smart meter, or a validated AI predictor. Instead, it provides an auditable integration baseline in which each numerical dashboard value can be linked to a defined formula and each alert can be linked to an explicit threshold condition.</w:t>
      </w:r>
    </w:p>
    <w:p>
      <w:pPr>
        <w:pStyle w:val="Heading2"/>
        <w:keepNext/>
        <w:widowControl/>
        <w:spacing w:after="100" w:before="160" w:line="276" w:lineRule="auto"/>
        <w:jc w:val="left"/>
      </w:pPr>
      <w:r>
        <w:rPr>
          <w:rFonts w:ascii="Times New Roman" w:hAnsi="Times New Roman" w:eastAsia="Times New Roman"/>
          <w:b/>
          <w:i w:val="0"/>
          <w:color w:val="000000"/>
          <w:sz w:val="24"/>
        </w:rPr>
        <w:t>2.4 NOVEL CONTRIBUTIONS</w:t>
      </w:r>
    </w:p>
    <w:p>
      <w:pPr>
        <w:pStyle w:val="ListBullet"/>
        <w:widowControl/>
        <w:spacing w:after="40" w:before="0" w:line="252" w:lineRule="auto"/>
        <w:jc w:val="both"/>
      </w:pPr>
      <w:r>
        <w:rPr>
          <w:rFonts w:ascii="Times New Roman" w:hAnsi="Times New Roman" w:eastAsia="Times New Roman"/>
          <w:b w:val="0"/>
          <w:i w:val="0"/>
          <w:color w:val="000000"/>
          <w:sz w:val="22"/>
        </w:rPr>
        <w:t>An event-driven microservices architecture with User, Device, Ingestion, Usage, Insight, Alert, and API Gateway responsibilities.</w:t>
      </w:r>
    </w:p>
    <w:p>
      <w:pPr>
        <w:pStyle w:val="ListBullet"/>
        <w:widowControl/>
        <w:spacing w:after="40" w:before="0" w:line="252" w:lineRule="auto"/>
        <w:jc w:val="both"/>
      </w:pPr>
      <w:r>
        <w:rPr>
          <w:rFonts w:ascii="Times New Roman" w:hAnsi="Times New Roman" w:eastAsia="Times New Roman"/>
          <w:b w:val="0"/>
          <w:i w:val="0"/>
          <w:color w:val="000000"/>
          <w:sz w:val="22"/>
        </w:rPr>
        <w:t>A Wokwi ESP32 simulation interface that sends the same timestamped JSON payload shape used by the ingestion API.</w:t>
      </w:r>
    </w:p>
    <w:p>
      <w:pPr>
        <w:pStyle w:val="ListBullet"/>
        <w:widowControl/>
        <w:spacing w:after="40" w:before="0" w:line="252" w:lineRule="auto"/>
        <w:jc w:val="both"/>
      </w:pPr>
      <w:r>
        <w:rPr>
          <w:rFonts w:ascii="Times New Roman" w:hAnsi="Times New Roman" w:eastAsia="Times New Roman"/>
          <w:b w:val="0"/>
          <w:i w:val="0"/>
          <w:color w:val="000000"/>
          <w:sz w:val="22"/>
        </w:rPr>
        <w:t>Kafka-based decoupling of ingestion from time-series persistence, with InfluxDB used for device-tagged energy_usage records.</w:t>
      </w:r>
    </w:p>
    <w:p>
      <w:pPr>
        <w:pStyle w:val="ListBullet"/>
        <w:widowControl/>
        <w:spacing w:after="40" w:before="0" w:line="252" w:lineRule="auto"/>
        <w:jc w:val="both"/>
      </w:pPr>
      <w:r>
        <w:rPr>
          <w:rFonts w:ascii="Times New Roman" w:hAnsi="Times New Roman" w:eastAsia="Times New Roman"/>
          <w:b w:val="0"/>
          <w:i w:val="0"/>
          <w:color w:val="000000"/>
          <w:sz w:val="22"/>
        </w:rPr>
        <w:t>Transparent deterministic calculations for bill forecasting, appliance ranking, and standby-load estimation.</w:t>
      </w:r>
    </w:p>
    <w:p>
      <w:pPr>
        <w:pStyle w:val="ListBullet"/>
        <w:widowControl/>
        <w:spacing w:after="40" w:before="0" w:line="252" w:lineRule="auto"/>
        <w:jc w:val="both"/>
      </w:pPr>
      <w:r>
        <w:rPr>
          <w:rFonts w:ascii="Times New Roman" w:hAnsi="Times New Roman" w:eastAsia="Times New Roman"/>
          <w:b w:val="0"/>
          <w:i w:val="0"/>
          <w:color w:val="000000"/>
          <w:sz w:val="22"/>
        </w:rPr>
        <w:t>A scheduled threshold-alert flow that persists alert records and demonstrates local email delivery through Mailpit.</w:t>
      </w:r>
    </w:p>
    <w:p>
      <w:pPr>
        <w:pStyle w:val="ListBullet"/>
        <w:widowControl/>
        <w:spacing w:after="40" w:before="0" w:line="252" w:lineRule="auto"/>
        <w:jc w:val="both"/>
      </w:pPr>
      <w:r>
        <w:rPr>
          <w:rFonts w:ascii="Times New Roman" w:hAnsi="Times New Roman" w:eastAsia="Times New Roman"/>
          <w:b w:val="0"/>
          <w:i w:val="0"/>
          <w:color w:val="000000"/>
          <w:sz w:val="22"/>
        </w:rPr>
        <w:t>A reproducible controlled verification protocol and evidence record for a 1.50 kWh analytics case and a 1.00 kWh threshold-breach case.</w:t>
      </w:r>
    </w:p>
    <w:p>
      <w:pPr>
        <w:pStyle w:val="Heading1"/>
        <w:keepNext/>
        <w:widowControl/>
        <w:spacing w:before="220" w:after="100"/>
      </w:pPr>
      <w:r>
        <w:rPr>
          <w:rFonts w:ascii="Times New Roman" w:hAnsi="Times New Roman" w:eastAsia="Times New Roman"/>
          <w:b/>
          <w:i w:val="0"/>
          <w:color w:val="000000"/>
          <w:sz w:val="28"/>
        </w:rPr>
        <w:t>3. PROPOSED METHODOLOGY AND PROPOSED SYSTEM</w:t>
      </w:r>
    </w:p>
    <w:p>
      <w:pPr>
        <w:pStyle w:val="Heading2"/>
        <w:keepNext/>
        <w:widowControl/>
        <w:spacing w:before="160" w:after="100"/>
      </w:pPr>
      <w:r>
        <w:rPr>
          <w:rFonts w:ascii="Times New Roman" w:hAnsi="Times New Roman" w:eastAsia="Times New Roman"/>
          <w:b/>
          <w:i w:val="0"/>
          <w:color w:val="000000"/>
          <w:sz w:val="24"/>
        </w:rPr>
        <w:t>3.1 Overall Methodology</w:t>
      </w:r>
    </w:p>
    <w:p>
      <w:pPr>
        <w:widowControl/>
        <w:spacing w:after="100" w:before="0" w:line="276" w:lineRule="auto"/>
        <w:ind w:firstLine="0"/>
        <w:jc w:val="both"/>
      </w:pPr>
      <w:r>
        <w:rPr>
          <w:rFonts w:ascii="Times New Roman" w:hAnsi="Times New Roman" w:eastAsia="Times New Roman"/>
          <w:b w:val="0"/>
          <w:i w:val="0"/>
          <w:color w:val="000000"/>
          <w:sz w:val="22"/>
        </w:rPr>
        <w:t>The proposed work is an event-driven software-system prototype for household energy monitoring. It is designed primarily to address the integration gap identified in Section 2: the need to combine device telemetry, scalable service separation, time-series storage, deterministic energy analytics, and threshold-based notification within a single residential energy-management platform. The present implementation is not a supervised machine-learning experiment. Its current energy input is a controlled Wokwi ESP32 simulation, and its numerical outputs are generated by deterministic calculations.</w:t>
      </w:r>
    </w:p>
    <w:p>
      <w:pPr>
        <w:widowControl/>
        <w:spacing w:after="100" w:before="0" w:line="276" w:lineRule="auto"/>
        <w:ind w:firstLine="0"/>
        <w:jc w:val="both"/>
      </w:pPr>
      <w:r>
        <w:rPr>
          <w:rFonts w:ascii="Times New Roman" w:hAnsi="Times New Roman" w:eastAsia="Times New Roman"/>
          <w:b w:val="0"/>
          <w:i w:val="0"/>
          <w:color w:val="000000"/>
          <w:sz w:val="22"/>
        </w:rPr>
        <w:t>The input to the system is an energy-telemetry record containing deviceId, energyConsumed, and timestamp. In the current prototype, the Wokwi firmware produces this JSON record every 8 s. The virtual potentiometer and three modes generate controlled scenarios: Eco (approximately 1-6 kWh), Heavy (approximately 8-20 kWh), and Alert Test (approximately 26-40 kWh). These values are scenario inputs for integration testing and must not be interpreted as calibrated physical meter measurements.</w:t>
      </w:r>
    </w:p>
    <w:p>
      <w:pPr>
        <w:widowControl/>
        <w:spacing w:after="100" w:before="0" w:line="276" w:lineRule="auto"/>
        <w:ind w:firstLine="0"/>
        <w:jc w:val="both"/>
      </w:pPr>
      <w:r>
        <w:rPr>
          <w:rFonts w:ascii="Times New Roman" w:hAnsi="Times New Roman" w:eastAsia="Times New Roman"/>
          <w:b w:val="0"/>
          <w:i w:val="0"/>
          <w:color w:val="000000"/>
          <w:sz w:val="22"/>
        </w:rPr>
        <w:t>Data acquisition begins when the virtual ESP32 sends a REST request through the API Gateway to the Ingestion Service. The service validates that deviceId and timestamp are present and that energyConsumed is non-negative. It then transforms the request into an energy-usage event and publishes that event to Apache Kafka. The Usage Service consumes the event, stores deviceId as a tag and energyConsumed as a field in the InfluxDB energy_usage measurement, and preserves the event timestamp for time-window queries.</w:t>
      </w:r>
    </w:p>
    <w:p>
      <w:pPr>
        <w:widowControl/>
        <w:spacing w:after="100" w:before="0" w:line="276" w:lineRule="auto"/>
        <w:ind w:firstLine="0"/>
        <w:jc w:val="both"/>
      </w:pPr>
      <w:r>
        <w:rPr>
          <w:rFonts w:ascii="Times New Roman" w:hAnsi="Times New Roman" w:eastAsia="Times New Roman"/>
          <w:b w:val="0"/>
          <w:i w:val="0"/>
          <w:color w:val="000000"/>
          <w:sz w:val="22"/>
        </w:rPr>
        <w:t>Feature transformation is performed through aggregation rather than feature learning. For a selected user and observation window of D days, the Usage Service sums energyConsumed for each registered device. The Insight Service derives household total energy, daily consumption rate, projected 30-day energy, slab-based cost, device contribution percentage, estimated device cost, and a standby-load estimate. The Alert path separately aggregates the preceding one-hour usage window every 10 s, maps device readings to their users, and compares each household total with its configured energy threshold.</w:t>
      </w:r>
    </w:p>
    <w:p>
      <w:pPr>
        <w:widowControl/>
        <w:spacing w:after="100" w:before="0" w:line="276" w:lineRule="auto"/>
        <w:ind w:firstLine="0"/>
        <w:jc w:val="both"/>
      </w:pPr>
      <w:r>
        <w:rPr>
          <w:rFonts w:ascii="Times New Roman" w:hAnsi="Times New Roman" w:eastAsia="Times New Roman"/>
          <w:b w:val="0"/>
          <w:i w:val="0"/>
          <w:color w:val="000000"/>
          <w:sz w:val="22"/>
        </w:rPr>
        <w:t>The outputs are (i) device-level and household-level usage summaries, (ii) a bill forecast, (iii) ranked appliances, (iv) a standby-risk estimate with recommendations, and (v) persisted alert records with local email capture through Mailpit. Evaluation at the current review stage focuses on functional correctness and end-to-end traceability: accepted ingestion request, Kafka event propagation, InfluxDB persistence, insight retrieval, and alert delivery. One controlled functional run is reported in Section 5.1. Quantitative performance, forecast-error, and classification metrics still require larger experiments and ground-truth data.</w:t>
      </w:r>
    </w:p>
    <w:p>
      <w:pPr>
        <w:pStyle w:val="Heading2"/>
        <w:keepNext/>
        <w:widowControl/>
        <w:spacing w:before="160" w:after="100"/>
      </w:pPr>
      <w:r>
        <w:rPr>
          <w:rFonts w:ascii="Times New Roman" w:hAnsi="Times New Roman" w:eastAsia="Times New Roman"/>
          <w:b/>
          <w:i w:val="0"/>
          <w:color w:val="000000"/>
          <w:sz w:val="24"/>
        </w:rPr>
        <w:t>3.2 Proposed System Architecture</w:t>
      </w:r>
    </w:p>
    <w:p>
      <w:pPr>
        <w:widowControl/>
        <w:spacing w:after="120" w:before="60" w:line="240" w:lineRule="auto"/>
        <w:ind w:firstLine="0"/>
        <w:jc w:val="center"/>
      </w:pPr>
      <w:r>
        <w:rPr>
          <w:rFonts w:ascii="Times New Roman" w:hAnsi="Times New Roman" w:eastAsia="Times New Roman"/>
          <w:b w:val="0"/>
          <w:i/>
          <w:color w:val="000000"/>
          <w:sz w:val="21"/>
        </w:rPr>
        <w:t>Fig. 1 presents the proposed architecture. The architecture separates input, event processing, storage, analytics, and presentation responsibilities. The separation allows the telemetry-facing ingestion path to acknowledge valid readings without waiting for aggregation, analytics, or notification delivery.</w:t>
      </w:r>
    </w:p>
    <w:p>
      <w:pPr>
        <w:jc w:val="center"/>
      </w:pPr>
      <w:r>
        <w:drawing>
          <wp:inline xmlns:a="http://schemas.openxmlformats.org/drawingml/2006/main" xmlns:pic="http://schemas.openxmlformats.org/drawingml/2006/picture">
            <wp:extent cx="5989320" cy="3158005"/>
            <wp:docPr id="1" name="Picture 1" title="Block diagram of the proposed event-driven Home Energy Tracker architecture." descr="Block diagram of the proposed event-driven Home Energy Tracker architecture."/>
            <wp:cNvGraphicFramePr>
              <a:graphicFrameLocks noChangeAspect="1"/>
            </wp:cNvGraphicFramePr>
            <a:graphic>
              <a:graphicData uri="http://schemas.openxmlformats.org/drawingml/2006/picture">
                <pic:pic>
                  <pic:nvPicPr>
                    <pic:cNvPr id="0" name="fig_1_proposed_system_architecture.png"/>
                    <pic:cNvPicPr/>
                  </pic:nvPicPr>
                  <pic:blipFill>
                    <a:blip r:embed="rId100"/>
                    <a:stretch>
                      <a:fillRect/>
                    </a:stretch>
                  </pic:blipFill>
                  <pic:spPr>
                    <a:xfrm>
                      <a:off x="0" y="0"/>
                      <a:ext cx="5989320" cy="3158005"/>
                    </a:xfrm>
                    <a:prstGeom prst="rect"/>
                  </pic:spPr>
                </pic:pic>
              </a:graphicData>
            </a:graphic>
          </wp:inline>
        </w:drawing>
      </w:r>
    </w:p>
    <w:p>
      <w:pPr>
        <w:widowControl/>
        <w:spacing w:after="120" w:before="60" w:line="240" w:lineRule="auto"/>
        <w:jc w:val="center"/>
      </w:pPr>
      <w:r>
        <w:rPr>
          <w:rFonts w:ascii="Times New Roman" w:hAnsi="Times New Roman" w:eastAsia="Times New Roman"/>
          <w:b w:val="0"/>
          <w:i/>
          <w:color w:val="000000"/>
          <w:sz w:val="21"/>
        </w:rPr>
        <w:t>Fig. 1. Proposed system architecture of the Home Energy Tracker.</w:t>
      </w:r>
    </w:p>
    <w:p>
      <w:pPr>
        <w:widowControl/>
        <w:spacing w:after="100" w:before="0" w:line="276" w:lineRule="auto"/>
        <w:ind w:firstLine="0"/>
        <w:jc w:val="both"/>
      </w:pPr>
      <w:r>
        <w:rPr>
          <w:rFonts w:ascii="Times New Roman" w:hAnsi="Times New Roman" w:eastAsia="Times New Roman"/>
          <w:b w:val="0"/>
          <w:i w:val="0"/>
          <w:color w:val="000000"/>
          <w:sz w:val="22"/>
        </w:rPr>
        <w:t>The virtual smart-meter block represents the current Wokwi ESP32 implementation. It supplies the same REST payload shape expected from a future physical meter but does not replace calibrated sensing hardware. The API Gateway is the public routing boundary for the browser and virtual meter. The Ingestion Service validates the payload and emits the energy-usage event. Kafka decouples this producer from the Usage Service, which persists time-series points to InfluxDB.</w:t>
      </w:r>
    </w:p>
    <w:p>
      <w:pPr>
        <w:widowControl/>
        <w:spacing w:after="100" w:before="0" w:line="276" w:lineRule="auto"/>
        <w:ind w:firstLine="0"/>
        <w:jc w:val="both"/>
      </w:pPr>
      <w:r>
        <w:rPr>
          <w:rFonts w:ascii="Times New Roman" w:hAnsi="Times New Roman" w:eastAsia="Times New Roman"/>
          <w:b w:val="0"/>
          <w:i w:val="0"/>
          <w:color w:val="000000"/>
          <w:sz w:val="22"/>
        </w:rPr>
        <w:t>User and Device Services maintain household and appliance metadata in MySQL. During aggregation, the Usage Service retrieves device ownership and user alert settings. The Insight Service queries aggregated usage data and produces deterministic forecasts, rankings, and standby estimates. The Alert Service consumes energy-alerts events, persists alert history in MySQL, and sends a notification through the configured SMTP endpoint; Mailpit is used as a local demonstration inbox. Ollama, when reachable, is used only to express recommendations in natural language. A deterministic fallback is returned if the optional AI service is unavailable.</w:t>
      </w:r>
    </w:p>
    <w:p>
      <w:pPr>
        <w:pStyle w:val="Heading2"/>
        <w:keepNext/>
        <w:widowControl/>
        <w:spacing w:before="160" w:after="100"/>
      </w:pPr>
      <w:r>
        <w:rPr>
          <w:rFonts w:ascii="Times New Roman" w:hAnsi="Times New Roman" w:eastAsia="Times New Roman"/>
          <w:b/>
          <w:i w:val="0"/>
          <w:color w:val="000000"/>
          <w:sz w:val="24"/>
        </w:rPr>
        <w:t>3.3 Detailed Proposed Approach</w:t>
      </w:r>
    </w:p>
    <w:p>
      <w:pPr>
        <w:widowControl/>
        <w:spacing w:after="100" w:before="0" w:line="276" w:lineRule="auto"/>
        <w:ind w:firstLine="0"/>
        <w:jc w:val="both"/>
      </w:pPr>
      <w:r>
        <w:rPr>
          <w:rFonts w:ascii="Times New Roman" w:hAnsi="Times New Roman" w:eastAsia="Times New Roman"/>
          <w:b w:val="0"/>
          <w:i w:val="0"/>
          <w:color w:val="000000"/>
          <w:sz w:val="22"/>
        </w:rPr>
        <w:t>The proposed approach is executed as the following connected stages. Each stage produces an output consumed by the next stage, thereby making the source of dashboard values and alerts traceable.</w:t>
      </w:r>
    </w:p>
    <w:p>
      <w:pPr>
        <w:widowControl/>
        <w:spacing w:after="120" w:before="60" w:line="240" w:lineRule="auto"/>
        <w:jc w:val="center"/>
      </w:pPr>
      <w:r>
        <w:rPr>
          <w:rFonts w:ascii="Times New Roman" w:hAnsi="Times New Roman" w:eastAsia="Times New Roman"/>
          <w:b w:val="0"/>
          <w:i/>
          <w:color w:val="000000"/>
          <w:sz w:val="21"/>
        </w:rPr>
        <w:t>Table 1. Detailed proposed approach and component interfaces.</w:t>
      </w:r>
    </w:p>
    <w:tbl>
      <w:tblPr>
        <w:tblStyle w:val="TableGrid"/>
        <w:tblW w:type="auto" w:w="0"/>
        <w:jc w:val="center"/>
        <w:tblLayout w:type="autofit"/>
        <w:tblLook w:firstColumn="1" w:firstRow="1" w:lastColumn="0" w:lastRow="0" w:noHBand="0" w:noVBand="1" w:val="04A0"/>
      </w:tblPr>
      <w:tblGrid>
        <w:gridCol w:w="2017"/>
        <w:gridCol w:w="2017"/>
        <w:gridCol w:w="2017"/>
        <w:gridCol w:w="2017"/>
        <w:gridCol w:w="2017"/>
      </w:tblGrid>
      <w:tr>
        <w:trPr>
          <w:tblHeader w:val="true"/>
          <w:tblHeader w:val="true"/>
        </w:trPr>
        <w:tc>
          <w:tcPr>
            <w:tcW w:type="dxa" w:w="1656"/>
            <w:vAlign w:val="center"/>
            <w:shd w:fill="D9E2F3"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center"/>
            </w:pPr>
            <w:r>
              <w:rPr>
                <w:rFonts w:ascii="Times New Roman" w:hAnsi="Times New Roman" w:eastAsia="Times New Roman"/>
                <w:b/>
                <w:color w:val="000000"/>
                <w:sz w:val="20"/>
              </w:rPr>
            </w:r>
            <w:r>
              <w:rPr>
                <w:rFonts w:ascii="Times New Roman" w:hAnsi="Times New Roman" w:eastAsia="Times New Roman"/>
                <w:b/>
                <w:i w:val="0"/>
                <w:color w:val="000000"/>
                <w:sz w:val="20"/>
              </w:rPr>
              <w:t>Component</w:t>
            </w:r>
          </w:p>
        </w:tc>
        <w:tc>
          <w:tcPr>
            <w:tcW w:type="dxa" w:w="1973"/>
            <w:vAlign w:val="center"/>
            <w:shd w:fill="D9E2F3"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center"/>
            </w:pPr>
            <w:r>
              <w:rPr>
                <w:rFonts w:ascii="Times New Roman" w:hAnsi="Times New Roman" w:eastAsia="Times New Roman"/>
                <w:b/>
                <w:color w:val="000000"/>
                <w:sz w:val="20"/>
              </w:rPr>
            </w:r>
            <w:r>
              <w:rPr>
                <w:rFonts w:ascii="Times New Roman" w:hAnsi="Times New Roman" w:eastAsia="Times New Roman"/>
                <w:b/>
                <w:i w:val="0"/>
                <w:color w:val="000000"/>
                <w:sz w:val="20"/>
              </w:rPr>
              <w:t>Purpose</w:t>
            </w:r>
          </w:p>
        </w:tc>
        <w:tc>
          <w:tcPr>
            <w:tcW w:type="dxa" w:w="1584"/>
            <w:vAlign w:val="center"/>
            <w:shd w:fill="D9E2F3"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center"/>
            </w:pPr>
            <w:r>
              <w:rPr>
                <w:rFonts w:ascii="Times New Roman" w:hAnsi="Times New Roman" w:eastAsia="Times New Roman"/>
                <w:b/>
                <w:color w:val="000000"/>
                <w:sz w:val="20"/>
              </w:rPr>
            </w:r>
            <w:r>
              <w:rPr>
                <w:rFonts w:ascii="Times New Roman" w:hAnsi="Times New Roman" w:eastAsia="Times New Roman"/>
                <w:b/>
                <w:i w:val="0"/>
                <w:color w:val="000000"/>
                <w:sz w:val="20"/>
              </w:rPr>
              <w:t>Input</w:t>
            </w:r>
          </w:p>
        </w:tc>
        <w:tc>
          <w:tcPr>
            <w:tcW w:type="dxa" w:w="2232"/>
            <w:vAlign w:val="center"/>
            <w:shd w:fill="D9E2F3"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center"/>
            </w:pPr>
            <w:r>
              <w:rPr>
                <w:rFonts w:ascii="Times New Roman" w:hAnsi="Times New Roman" w:eastAsia="Times New Roman"/>
                <w:b/>
                <w:color w:val="000000"/>
                <w:sz w:val="20"/>
              </w:rPr>
            </w:r>
            <w:r>
              <w:rPr>
                <w:rFonts w:ascii="Times New Roman" w:hAnsi="Times New Roman" w:eastAsia="Times New Roman"/>
                <w:b/>
                <w:i w:val="0"/>
                <w:color w:val="000000"/>
                <w:sz w:val="20"/>
              </w:rPr>
              <w:t>Processing technique</w:t>
            </w:r>
          </w:p>
        </w:tc>
        <w:tc>
          <w:tcPr>
            <w:tcW w:type="dxa" w:w="1987"/>
            <w:vAlign w:val="center"/>
            <w:shd w:fill="D9E2F3"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center"/>
            </w:pPr>
            <w:r>
              <w:rPr>
                <w:rFonts w:ascii="Times New Roman" w:hAnsi="Times New Roman" w:eastAsia="Times New Roman"/>
                <w:b/>
                <w:color w:val="000000"/>
                <w:sz w:val="20"/>
              </w:rPr>
            </w:r>
            <w:r>
              <w:rPr>
                <w:rFonts w:ascii="Times New Roman" w:hAnsi="Times New Roman" w:eastAsia="Times New Roman"/>
                <w:b/>
                <w:i w:val="0"/>
                <w:color w:val="000000"/>
                <w:sz w:val="20"/>
              </w:rPr>
              <w:t>Output and next stage</w:t>
            </w:r>
          </w:p>
        </w:tc>
      </w:tr>
      <w:tr>
        <w:tc>
          <w:tcPr>
            <w:tcW w:type="dxa" w:w="1656"/>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Profile and device registration</w:t>
            </w:r>
          </w:p>
        </w:tc>
        <w:tc>
          <w:tcPr>
            <w:tcW w:type="dxa" w:w="1973"/>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Associate a household with its appliances and alert setting.</w:t>
            </w:r>
          </w:p>
        </w:tc>
        <w:tc>
          <w:tcPr>
            <w:tcW w:type="dxa" w:w="1584"/>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User details, device name, type, location, and threshold.</w:t>
            </w:r>
          </w:p>
        </w:tc>
        <w:tc>
          <w:tcPr>
            <w:tcW w:type="dxa" w:w="2232"/>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REST CRUD operations stored in MySQL.</w:t>
            </w:r>
          </w:p>
        </w:tc>
        <w:tc>
          <w:tcPr>
            <w:tcW w:type="dxa" w:w="1987"/>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User and device identifiers used by usage aggregation.</w:t>
            </w:r>
          </w:p>
        </w:tc>
      </w:tr>
      <w:tr>
        <w:tc>
          <w:tcPr>
            <w:tcW w:type="dxa" w:w="1656"/>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Wokwi telemetry acquisition</w:t>
            </w:r>
          </w:p>
        </w:tc>
        <w:tc>
          <w:tcPr>
            <w:tcW w:type="dxa" w:w="1973"/>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Generate controlled end-to-end test telemetry.</w:t>
            </w:r>
          </w:p>
        </w:tc>
        <w:tc>
          <w:tcPr>
            <w:tcW w:type="dxa" w:w="1584"/>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Potentiometer and selected Eco, Heavy, or Alert Test mode.</w:t>
            </w:r>
          </w:p>
        </w:tc>
        <w:tc>
          <w:tcPr>
            <w:tcW w:type="dxa" w:w="2232"/>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ESP32 firmware maps analog mode state to a kWh value and creates a timestamped JSON request every 8 s.</w:t>
            </w:r>
          </w:p>
        </w:tc>
        <w:tc>
          <w:tcPr>
            <w:tcW w:type="dxa" w:w="1987"/>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{deviceId, energyConsumed, timestamp} sent to API Gateway.</w:t>
            </w:r>
          </w:p>
        </w:tc>
      </w:tr>
      <w:tr>
        <w:tc>
          <w:tcPr>
            <w:tcW w:type="dxa" w:w="1656"/>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Ingestion</w:t>
            </w:r>
          </w:p>
        </w:tc>
        <w:tc>
          <w:tcPr>
            <w:tcW w:type="dxa" w:w="1973"/>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Validate and decouple device-facing requests.</w:t>
            </w:r>
          </w:p>
        </w:tc>
        <w:tc>
          <w:tcPr>
            <w:tcW w:type="dxa" w:w="1584"/>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Telemetry JSON payload.</w:t>
            </w:r>
          </w:p>
        </w:tc>
        <w:tc>
          <w:tcPr>
            <w:tcW w:type="dxa" w:w="2232"/>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Bean validation: non-null deviceId/timestamp and non-negative energyConsumed; event mapping and Kafka publication.</w:t>
            </w:r>
          </w:p>
        </w:tc>
        <w:tc>
          <w:tcPr>
            <w:tcW w:type="dxa" w:w="1987"/>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energy-usage event for Usage Service.</w:t>
            </w:r>
          </w:p>
        </w:tc>
      </w:tr>
      <w:tr>
        <w:tc>
          <w:tcPr>
            <w:tcW w:type="dxa" w:w="1656"/>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Usage storage and aggregation</w:t>
            </w:r>
          </w:p>
        </w:tc>
        <w:tc>
          <w:tcPr>
            <w:tcW w:type="dxa" w:w="1973"/>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Persist readings and derive user/device window sums.</w:t>
            </w:r>
          </w:p>
        </w:tc>
        <w:tc>
          <w:tcPr>
            <w:tcW w:type="dxa" w:w="1584"/>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Kafka event plus user/device metadata.</w:t>
            </w:r>
          </w:p>
        </w:tc>
        <w:tc>
          <w:tcPr>
            <w:tcW w:type="dxa" w:w="2232"/>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Write InfluxDB point; Flux time-window sum grouped by deviceId; ownership resolution through Device Service.</w:t>
            </w:r>
          </w:p>
        </w:tc>
        <w:tc>
          <w:tcPr>
            <w:tcW w:type="dxa" w:w="1987"/>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Per-device energy totals and household totals.</w:t>
            </w:r>
          </w:p>
        </w:tc>
      </w:tr>
      <w:tr>
        <w:tc>
          <w:tcPr>
            <w:tcW w:type="dxa" w:w="1656"/>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Insight computation</w:t>
            </w:r>
          </w:p>
        </w:tc>
        <w:tc>
          <w:tcPr>
            <w:tcW w:type="dxa" w:w="1973"/>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Convert usage totals into interpretable decision support.</w:t>
            </w:r>
          </w:p>
        </w:tc>
        <w:tc>
          <w:tcPr>
            <w:tcW w:type="dxa" w:w="1584"/>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Aggregated usage over selected days and configured tariff values.</w:t>
            </w:r>
          </w:p>
        </w:tc>
        <w:tc>
          <w:tcPr>
            <w:tcW w:type="dxa" w:w="2232"/>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Daily-rate forecast, slab-cost calculation, descending device sort, 20% average-load standby heuristic.</w:t>
            </w:r>
          </w:p>
        </w:tc>
        <w:tc>
          <w:tcPr>
            <w:tcW w:type="dxa" w:w="1987"/>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Forecast, appliance ranking, standby risk, recommendations.</w:t>
            </w:r>
          </w:p>
        </w:tc>
      </w:tr>
      <w:tr>
        <w:tc>
          <w:tcPr>
            <w:tcW w:type="dxa" w:w="1656"/>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Threshold alerting</w:t>
            </w:r>
          </w:p>
        </w:tc>
        <w:tc>
          <w:tcPr>
            <w:tcW w:type="dxa" w:w="1973"/>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Notify a household when preceding one-hour summed usage is over its setting.</w:t>
            </w:r>
          </w:p>
        </w:tc>
        <w:tc>
          <w:tcPr>
            <w:tcW w:type="dxa" w:w="1584"/>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One-hour household aggregate, threshold, and alerting flag.</w:t>
            </w:r>
          </w:p>
        </w:tc>
        <w:tc>
          <w:tcPr>
            <w:tcW w:type="dxa" w:w="2232"/>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Scheduled rule evaluation every 10 s and energy-alerts publication on breach.</w:t>
            </w:r>
          </w:p>
        </w:tc>
        <w:tc>
          <w:tcPr>
            <w:tcW w:type="dxa" w:w="1987"/>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Persisted alert and local email notification.</w:t>
            </w:r>
          </w:p>
        </w:tc>
      </w:tr>
      <w:tr>
        <w:tc>
          <w:tcPr>
            <w:tcW w:type="dxa" w:w="1656"/>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Evaluation</w:t>
            </w:r>
          </w:p>
        </w:tc>
        <w:tc>
          <w:tcPr>
            <w:tcW w:type="dxa" w:w="1973"/>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Demonstrate traceability and quantify performance when experimental data are collected.</w:t>
            </w:r>
          </w:p>
        </w:tc>
        <w:tc>
          <w:tcPr>
            <w:tcW w:type="dxa" w:w="1584"/>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HTTP logs, Kafka records, InfluxDB query results, alert history, timing data.</w:t>
            </w:r>
          </w:p>
        </w:tc>
        <w:tc>
          <w:tcPr>
            <w:tcW w:type="dxa" w:w="2232"/>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Functional checks and [TO BE PROVIDED] metric calculation.</w:t>
            </w:r>
          </w:p>
        </w:tc>
        <w:tc>
          <w:tcPr>
            <w:tcW w:type="dxa" w:w="1987"/>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Evidence table and results/discussion inputs.</w:t>
            </w:r>
          </w:p>
        </w:tc>
      </w:tr>
    </w:tbl>
    <w:p>
      <w:pPr>
        <w:spacing w:after="20"/>
      </w:pPr>
    </w:p>
    <w:p>
      <w:pPr>
        <w:pStyle w:val="Heading2"/>
        <w:keepNext/>
        <w:widowControl/>
        <w:spacing w:before="160" w:after="100"/>
      </w:pPr>
      <w:r>
        <w:rPr>
          <w:rFonts w:ascii="Times New Roman" w:hAnsi="Times New Roman" w:eastAsia="Times New Roman"/>
          <w:b/>
          <w:i w:val="0"/>
          <w:color w:val="000000"/>
          <w:sz w:val="24"/>
        </w:rPr>
        <w:t>3.4 Algorithms and Techniques</w:t>
      </w:r>
    </w:p>
    <w:p>
      <w:pPr>
        <w:widowControl/>
        <w:spacing w:after="100" w:before="0" w:line="276" w:lineRule="auto"/>
        <w:ind w:firstLine="0"/>
        <w:jc w:val="both"/>
      </w:pPr>
      <w:r>
        <w:rPr>
          <w:rFonts w:ascii="Times New Roman" w:hAnsi="Times New Roman" w:eastAsia="Times New Roman"/>
          <w:b w:val="0"/>
          <w:i w:val="0"/>
          <w:color w:val="000000"/>
          <w:sz w:val="22"/>
        </w:rPr>
        <w:t>The implemented system uses deterministic rules and mathematical transformations rather than a trained prediction or anomaly-detection model. Therefore, accuracy, F1-score, and train-test split claims are not appropriate for the current prototype. The following techniques are implemented or directly represented in the source code.</w:t>
      </w:r>
    </w:p>
    <w:p>
      <w:pPr>
        <w:pStyle w:val="Heading3"/>
        <w:keepNext/>
        <w:widowControl/>
        <w:spacing w:before="160" w:after="100"/>
      </w:pPr>
      <w:r>
        <w:rPr>
          <w:rFonts w:ascii="Times New Roman" w:hAnsi="Times New Roman" w:eastAsia="Times New Roman"/>
          <w:b/>
          <w:i w:val="0"/>
          <w:color w:val="000000"/>
          <w:sz w:val="22"/>
        </w:rPr>
        <w:t>3.4.1 Event-driven ingestion and time-window aggregation</w:t>
      </w:r>
    </w:p>
    <w:p>
      <w:pPr>
        <w:widowControl/>
        <w:spacing w:after="100" w:before="0" w:line="276" w:lineRule="auto"/>
        <w:ind w:firstLine="0"/>
        <w:jc w:val="both"/>
      </w:pPr>
      <w:r>
        <w:rPr>
          <w:rFonts w:ascii="Times New Roman" w:hAnsi="Times New Roman" w:eastAsia="Times New Roman"/>
          <w:b w:val="0"/>
          <w:i w:val="0"/>
          <w:color w:val="000000"/>
          <w:sz w:val="22"/>
        </w:rPr>
        <w:t>Purpose: accept a validated telemetry request and make it asynchronously available to downstream processing. Input: deviceId, energyConsumed, and timestamp. Working principle: the Ingestion Service maps the valid request to an energy-usage Kafka event. The Usage Service consumes the event and writes an InfluxDB point with deviceId as a tag, energyConsumed as a field, and the supplied timestamp. For retrieval, a Flux query restricts the time range, filters the energy_usage measurement and energyConsumed field, groups by deviceId, and sums the values. Output: per-device energy totals for a selected user and time range. This approach is appropriate because telemetry storage and aggregation can be performed independently of client request acknowledgement.</w:t>
      </w:r>
    </w:p>
    <w:p>
      <w:pPr>
        <w:pStyle w:val="Heading3"/>
        <w:keepNext/>
        <w:widowControl/>
        <w:spacing w:before="160" w:after="100"/>
      </w:pPr>
      <w:r>
        <w:rPr>
          <w:rFonts w:ascii="Times New Roman" w:hAnsi="Times New Roman" w:eastAsia="Times New Roman"/>
          <w:b/>
          <w:i w:val="0"/>
          <w:color w:val="000000"/>
          <w:sz w:val="22"/>
        </w:rPr>
        <w:t>3.4.2 Slab-based bill forecast</w:t>
      </w:r>
    </w:p>
    <w:p>
      <w:pPr>
        <w:widowControl/>
        <w:spacing w:after="100" w:before="0" w:line="276" w:lineRule="auto"/>
        <w:ind w:firstLine="0"/>
        <w:jc w:val="both"/>
      </w:pPr>
      <w:r>
        <w:rPr>
          <w:rFonts w:ascii="Times New Roman" w:hAnsi="Times New Roman" w:eastAsia="Times New Roman"/>
          <w:b w:val="0"/>
          <w:i w:val="0"/>
          <w:color w:val="000000"/>
          <w:sz w:val="22"/>
        </w:rPr>
        <w:t>Purpose: estimate a 30-day energy quantity and cost from observed usage. Let E_tot be the summed energy over D selected days. The system computes the average daily rate and 30-day projection as follows:</w:t>
      </w:r>
    </w:p>
    <w:p>
      <w:pPr>
        <w:widowControl/>
        <w:spacing w:after="100" w:before="60"/>
        <w:jc w:val="center"/>
      </w:pPr>
      <w:r>
        <w:rPr>
          <w:rFonts w:ascii="Times New Roman" w:hAnsi="Times New Roman" w:eastAsia="Times New Roman"/>
          <w:b w:val="0"/>
          <w:i/>
          <w:color w:val="000000"/>
          <w:sz w:val="22"/>
        </w:rPr>
        <w:t>E_day = E_tot / D,     E_30 = 30 x E_day</w:t>
      </w:r>
    </w:p>
    <w:p>
      <w:pPr>
        <w:widowControl/>
        <w:spacing w:after="100" w:before="0" w:line="276" w:lineRule="auto"/>
        <w:ind w:firstLine="0"/>
        <w:jc w:val="both"/>
      </w:pPr>
      <w:r>
        <w:rPr>
          <w:rFonts w:ascii="Times New Roman" w:hAnsi="Times New Roman" w:eastAsia="Times New Roman"/>
          <w:b w:val="0"/>
          <w:i w:val="0"/>
          <w:color w:val="000000"/>
          <w:sz w:val="22"/>
        </w:rPr>
        <w:t>The projected cost is calculated using configured tariff slabs. For slab limits L1 and L2, slab rates r1, r2, r3, and fixed charge F, the implementation allocates consumption sequentially to the slab ranges and adds F only to the projected monthly cost. The local prototype defaults are F = 10.00, L1 = 100 kWh, r1 = 0.12, L2 = 300 kWh, r2 = 0.18, and r3 = 0.25. These are configuration defaults rather than a validated tariff for a particular utility and should be replaced by [TO BE PROVIDED: applicable tariff source] before a real-billing claim is made.</w:t>
      </w:r>
    </w:p>
    <w:p>
      <w:pPr>
        <w:widowControl/>
        <w:spacing w:after="100" w:before="0" w:line="276" w:lineRule="auto"/>
        <w:ind w:firstLine="0"/>
        <w:jc w:val="both"/>
      </w:pPr>
      <w:r>
        <w:rPr>
          <w:rFonts w:ascii="Times New Roman" w:hAnsi="Times New Roman" w:eastAsia="Times New Roman"/>
          <w:b w:val="0"/>
          <w:i w:val="0"/>
          <w:color w:val="000000"/>
          <w:sz w:val="22"/>
        </w:rPr>
        <w:t>Output: current-period estimated cost, daily rate, projected 30-day kWh, and projected 30-day cost. The method is appropriate for a transparent prototype because every estimate can be reproduced from the aggregated input and tariff configuration. It is not a substitute for a utility-bill forecast validated against real billing data.</w:t>
      </w:r>
    </w:p>
    <w:p>
      <w:pPr>
        <w:pStyle w:val="Heading3"/>
        <w:keepNext/>
        <w:widowControl/>
        <w:spacing w:before="160" w:after="100"/>
      </w:pPr>
      <w:r>
        <w:rPr>
          <w:rFonts w:ascii="Times New Roman" w:hAnsi="Times New Roman" w:eastAsia="Times New Roman"/>
          <w:b/>
          <w:i w:val="0"/>
          <w:color w:val="000000"/>
          <w:sz w:val="22"/>
        </w:rPr>
        <w:t>3.4.3 Appliance ranking</w:t>
      </w:r>
    </w:p>
    <w:p>
      <w:pPr>
        <w:widowControl/>
        <w:spacing w:after="100" w:before="0" w:line="276" w:lineRule="auto"/>
        <w:ind w:firstLine="0"/>
        <w:jc w:val="both"/>
      </w:pPr>
      <w:r>
        <w:rPr>
          <w:rFonts w:ascii="Times New Roman" w:hAnsi="Times New Roman" w:eastAsia="Times New Roman"/>
          <w:b w:val="0"/>
          <w:i w:val="0"/>
          <w:color w:val="000000"/>
          <w:sz w:val="22"/>
        </w:rPr>
        <w:t>Purpose: identify devices that contribute the largest proportion of observed consumption. Input: device-level sums for a selected time window. The devices are sorted in descending order of energyConsumed. For device i, contribution is calculated as p_i = (E_i / E_tot) x 100 when E_tot is positive. Estimated device cost is allocated proportionally as c_i = p_i x C_tot / 100, where C_tot is the current-period slab-based cost. Output: a ranked device list with kWh, contribution percentage, and estimated cost. This method is appropriate because the application already records device-associated telemetry and does not claim appliance disaggregation from a single aggregate meter.</w:t>
      </w:r>
    </w:p>
    <w:p>
      <w:pPr>
        <w:pStyle w:val="Heading3"/>
        <w:keepNext/>
        <w:widowControl/>
        <w:spacing w:before="160" w:after="100"/>
      </w:pPr>
      <w:r>
        <w:rPr>
          <w:rFonts w:ascii="Times New Roman" w:hAnsi="Times New Roman" w:eastAsia="Times New Roman"/>
          <w:b/>
          <w:i w:val="0"/>
          <w:color w:val="000000"/>
          <w:sz w:val="22"/>
        </w:rPr>
        <w:t>3.4.4 Standby Energy Detective heuristic</w:t>
      </w:r>
    </w:p>
    <w:p>
      <w:pPr>
        <w:widowControl/>
        <w:spacing w:after="100" w:before="0" w:line="276" w:lineRule="auto"/>
        <w:ind w:firstLine="0"/>
        <w:jc w:val="both"/>
      </w:pPr>
      <w:r>
        <w:rPr>
          <w:rFonts w:ascii="Times New Roman" w:hAnsi="Times New Roman" w:eastAsia="Times New Roman"/>
          <w:b w:val="0"/>
          <w:i w:val="0"/>
          <w:color w:val="000000"/>
          <w:sz w:val="22"/>
        </w:rPr>
        <w:t>Purpose: translate continuous low-level demand into an explainable estimate of potential standby cost. The current implementation does not detect night-time or low-activity periods directly. Instead, it estimates baseline power as 20% of the average load across the selected observation period. If the selected window has D days and total energy E_tot, then:</w:t>
      </w:r>
    </w:p>
    <w:p>
      <w:pPr>
        <w:widowControl/>
        <w:spacing w:after="100" w:before="60"/>
        <w:jc w:val="center"/>
      </w:pPr>
      <w:r>
        <w:rPr>
          <w:rFonts w:ascii="Times New Roman" w:hAnsi="Times New Roman" w:eastAsia="Times New Roman"/>
          <w:b w:val="0"/>
          <w:i/>
          <w:color w:val="000000"/>
          <w:sz w:val="22"/>
        </w:rPr>
        <w:t>P_avg = (E_tot / (24D)) x 1000 W,     P_base = 0.20 x P_avg</w:t>
      </w:r>
    </w:p>
    <w:p>
      <w:pPr>
        <w:widowControl/>
        <w:spacing w:after="100" w:before="60"/>
        <w:jc w:val="center"/>
      </w:pPr>
      <w:r>
        <w:rPr>
          <w:rFonts w:ascii="Times New Roman" w:hAnsi="Times New Roman" w:eastAsia="Times New Roman"/>
          <w:b w:val="0"/>
          <w:i/>
          <w:color w:val="000000"/>
          <w:sz w:val="22"/>
        </w:rPr>
        <w:t>E_standby_day = 24 x P_base / 1000,     E_standby_month = 30 x E_standby_day</w:t>
      </w:r>
    </w:p>
    <w:p>
      <w:pPr>
        <w:widowControl/>
        <w:spacing w:after="100" w:before="0" w:line="276" w:lineRule="auto"/>
        <w:ind w:firstLine="0"/>
        <w:jc w:val="both"/>
      </w:pPr>
      <w:r>
        <w:rPr>
          <w:rFonts w:ascii="Times New Roman" w:hAnsi="Times New Roman" w:eastAsia="Times New Roman"/>
          <w:b w:val="0"/>
          <w:i w:val="0"/>
          <w:color w:val="000000"/>
          <w:sz w:val="22"/>
        </w:rPr>
        <w:t>The system labels standby risk as LOW when P_base is at most 50 W, MEDIUM when it is greater than 50 W and at most 150 W, and HIGH when it is greater than 150 W. It calculates a monthly standby cost through the same tariff function and returns generic probable device categories and practical recommendations. Output: baseline watts, daily/monthly standby kWh, monthly estimated cost, risk level, and recommendations. This heuristic is appropriate for an explainable prototype, but it is not a ground-truth appliance-level standby detector.</w:t>
      </w:r>
    </w:p>
    <w:p>
      <w:pPr>
        <w:pStyle w:val="Heading3"/>
        <w:keepNext/>
        <w:widowControl/>
        <w:spacing w:before="160" w:after="100"/>
      </w:pPr>
      <w:r>
        <w:rPr>
          <w:rFonts w:ascii="Times New Roman" w:hAnsi="Times New Roman" w:eastAsia="Times New Roman"/>
          <w:b/>
          <w:i w:val="0"/>
          <w:color w:val="000000"/>
          <w:sz w:val="22"/>
        </w:rPr>
        <w:t>3.4.5 Threshold rule for alerts</w:t>
      </w:r>
    </w:p>
    <w:p>
      <w:pPr>
        <w:widowControl/>
        <w:spacing w:after="100" w:before="0" w:line="276" w:lineRule="auto"/>
        <w:ind w:firstLine="0"/>
        <w:jc w:val="both"/>
      </w:pPr>
      <w:r>
        <w:rPr>
          <w:rFonts w:ascii="Times New Roman" w:hAnsi="Times New Roman" w:eastAsia="Times New Roman"/>
          <w:b w:val="0"/>
          <w:i w:val="0"/>
          <w:color w:val="000000"/>
          <w:sz w:val="22"/>
        </w:rPr>
        <w:t>Purpose: generate a notification when aggregated household usage exceeds the user-defined limit. At each scheduled evaluation, the system sums the preceding one-hour device readings associated with a user. If alerting is enabled and the sum is greater than threshold theta_u, an energy-alerts event is published:</w:t>
      </w:r>
    </w:p>
    <w:p>
      <w:pPr>
        <w:widowControl/>
        <w:spacing w:after="100" w:before="60"/>
        <w:jc w:val="center"/>
      </w:pPr>
      <w:r>
        <w:rPr>
          <w:rFonts w:ascii="Times New Roman" w:hAnsi="Times New Roman" w:eastAsia="Times New Roman"/>
          <w:b w:val="0"/>
          <w:i/>
          <w:color w:val="000000"/>
          <w:sz w:val="22"/>
        </w:rPr>
        <w:t>Alert(u) = 1 if alerting_u = true and sum(E_i over preceding hour for user u) &gt; theta_u; otherwise Alert(u) = 0</w:t>
      </w:r>
    </w:p>
    <w:p>
      <w:pPr>
        <w:widowControl/>
        <w:spacing w:after="100" w:before="0" w:line="276" w:lineRule="auto"/>
        <w:ind w:firstLine="0"/>
        <w:jc w:val="both"/>
      </w:pPr>
      <w:r>
        <w:rPr>
          <w:rFonts w:ascii="Times New Roman" w:hAnsi="Times New Roman" w:eastAsia="Times New Roman"/>
          <w:b w:val="0"/>
          <w:i w:val="0"/>
          <w:color w:val="000000"/>
          <w:sz w:val="22"/>
        </w:rPr>
        <w:t>The scheduler runs every 10 s. Output: an alert event consumed by the Alert Service, which persists an alert record and attempts notification delivery. The technique is appropriate for transparent threshold monitoring; however, the present implementation does not deduplicate repeated breaches, so this limitation must be retained in the experimental discussion.</w:t>
      </w:r>
    </w:p>
    <w:p>
      <w:pPr>
        <w:widowControl/>
        <w:spacing w:before="140" w:after="60"/>
      </w:pPr>
      <w:r>
        <w:rPr>
          <w:rFonts w:ascii="Times New Roman" w:hAnsi="Times New Roman" w:eastAsia="Times New Roman"/>
          <w:b/>
          <w:i w:val="0"/>
          <w:color w:val="000000"/>
          <w:sz w:val="22"/>
        </w:rPr>
        <w:t>Algorithm 1: Event ingestion, aggregation, and threshold evaluation</w:t>
      </w:r>
    </w:p>
    <w:p>
      <w:pPr>
        <w:widowControl/>
        <w:spacing w:after="20"/>
        <w:ind w:left="340"/>
      </w:pPr>
      <w:r>
        <w:rPr>
          <w:rFonts w:ascii="Times New Roman" w:hAnsi="Times New Roman" w:eastAsia="Times New Roman"/>
          <w:b/>
          <w:i w:val="0"/>
          <w:color w:val="000000"/>
          <w:sz w:val="22"/>
        </w:rPr>
        <w:t xml:space="preserve">Input: </w:t>
      </w:r>
      <w:r>
        <w:rPr>
          <w:rFonts w:ascii="Times New Roman" w:hAnsi="Times New Roman" w:eastAsia="Times New Roman"/>
          <w:b w:val="0"/>
          <w:i w:val="0"/>
          <w:color w:val="000000"/>
          <w:sz w:val="22"/>
        </w:rPr>
        <w:t>Telemetry record r = {deviceId, energyConsumed, timestamp}; registered devices; user thresholds.</w:t>
      </w:r>
    </w:p>
    <w:p>
      <w:pPr>
        <w:widowControl/>
        <w:spacing w:after="20"/>
        <w:ind w:left="340"/>
      </w:pPr>
      <w:r>
        <w:rPr>
          <w:rFonts w:ascii="Times New Roman" w:hAnsi="Times New Roman" w:eastAsia="Times New Roman"/>
          <w:b/>
          <w:i w:val="0"/>
          <w:color w:val="000000"/>
          <w:sz w:val="22"/>
        </w:rPr>
        <w:t xml:space="preserve">Output: </w:t>
      </w:r>
      <w:r>
        <w:rPr>
          <w:rFonts w:ascii="Times New Roman" w:hAnsi="Times New Roman" w:eastAsia="Times New Roman"/>
          <w:b w:val="0"/>
          <w:i w:val="0"/>
          <w:color w:val="000000"/>
          <w:sz w:val="22"/>
        </w:rPr>
        <w:t>Stored usage point; user-level aggregates; zero or more alert events.</w:t>
      </w:r>
    </w:p>
    <w:p>
      <w:pPr>
        <w:widowControl/>
        <w:spacing w:after="20"/>
        <w:ind w:left="340" w:hanging="255"/>
      </w:pPr>
      <w:r>
        <w:rPr>
          <w:rFonts w:ascii="Times New Roman" w:hAnsi="Times New Roman" w:eastAsia="Times New Roman"/>
          <w:b w:val="0"/>
          <w:i w:val="0"/>
          <w:color w:val="000000"/>
          <w:sz w:val="22"/>
        </w:rPr>
        <w:t>1. Receive r through the ingestion endpoint.</w:t>
      </w:r>
    </w:p>
    <w:p>
      <w:pPr>
        <w:widowControl/>
        <w:spacing w:after="20"/>
        <w:ind w:left="340" w:hanging="255"/>
      </w:pPr>
      <w:r>
        <w:rPr>
          <w:rFonts w:ascii="Times New Roman" w:hAnsi="Times New Roman" w:eastAsia="Times New Roman"/>
          <w:b w:val="0"/>
          <w:i w:val="0"/>
          <w:color w:val="000000"/>
          <w:sz w:val="22"/>
        </w:rPr>
        <w:t>2. If deviceId or timestamp is null, or energyConsumed is negative, reject r.</w:t>
      </w:r>
    </w:p>
    <w:p>
      <w:pPr>
        <w:widowControl/>
        <w:spacing w:after="20"/>
        <w:ind w:left="340" w:hanging="255"/>
      </w:pPr>
      <w:r>
        <w:rPr>
          <w:rFonts w:ascii="Times New Roman" w:hAnsi="Times New Roman" w:eastAsia="Times New Roman"/>
          <w:b w:val="0"/>
          <w:i w:val="0"/>
          <w:color w:val="000000"/>
          <w:sz w:val="22"/>
        </w:rPr>
        <w:t>3. Map r to an energy-usage event and publish it to Kafka.</w:t>
      </w:r>
    </w:p>
    <w:p>
      <w:pPr>
        <w:widowControl/>
        <w:spacing w:after="20"/>
        <w:ind w:left="340" w:hanging="255"/>
      </w:pPr>
      <w:r>
        <w:rPr>
          <w:rFonts w:ascii="Times New Roman" w:hAnsi="Times New Roman" w:eastAsia="Times New Roman"/>
          <w:b w:val="0"/>
          <w:i w:val="0"/>
          <w:color w:val="000000"/>
          <w:sz w:val="22"/>
        </w:rPr>
        <w:t>4. For each consumed event, write deviceId, energyConsumed, and timestamp to InfluxDB.</w:t>
      </w:r>
    </w:p>
    <w:p>
      <w:pPr>
        <w:widowControl/>
        <w:spacing w:after="20"/>
        <w:ind w:left="340" w:hanging="255"/>
      </w:pPr>
      <w:r>
        <w:rPr>
          <w:rFonts w:ascii="Times New Roman" w:hAnsi="Times New Roman" w:eastAsia="Times New Roman"/>
          <w:b w:val="0"/>
          <w:i w:val="0"/>
          <w:color w:val="000000"/>
          <w:sz w:val="22"/>
        </w:rPr>
        <w:t>5. Every 10 s, query the preceding one-hour energy_usage values grouped by deviceId.</w:t>
      </w:r>
    </w:p>
    <w:p>
      <w:pPr>
        <w:widowControl/>
        <w:spacing w:after="20"/>
        <w:ind w:left="340" w:hanging="255"/>
      </w:pPr>
      <w:r>
        <w:rPr>
          <w:rFonts w:ascii="Times New Roman" w:hAnsi="Times New Roman" w:eastAsia="Times New Roman"/>
          <w:b w:val="0"/>
          <w:i w:val="0"/>
          <w:color w:val="000000"/>
          <w:sz w:val="22"/>
        </w:rPr>
        <w:t>6. Resolve each deviceId to its userId and sum device totals for each user.</w:t>
      </w:r>
    </w:p>
    <w:p>
      <w:pPr>
        <w:widowControl/>
        <w:spacing w:after="20"/>
        <w:ind w:left="340" w:hanging="255"/>
      </w:pPr>
      <w:r>
        <w:rPr>
          <w:rFonts w:ascii="Times New Roman" w:hAnsi="Times New Roman" w:eastAsia="Times New Roman"/>
          <w:b w:val="0"/>
          <w:i w:val="0"/>
          <w:color w:val="000000"/>
          <w:sz w:val="22"/>
        </w:rPr>
        <w:t>7. For each user with alerting enabled, compare the one-hour total with the configured threshold.</w:t>
      </w:r>
    </w:p>
    <w:p>
      <w:pPr>
        <w:widowControl/>
        <w:spacing w:after="20"/>
        <w:ind w:left="340" w:hanging="255"/>
      </w:pPr>
      <w:r>
        <w:rPr>
          <w:rFonts w:ascii="Times New Roman" w:hAnsi="Times New Roman" w:eastAsia="Times New Roman"/>
          <w:b w:val="0"/>
          <w:i w:val="0"/>
          <w:color w:val="000000"/>
          <w:sz w:val="22"/>
        </w:rPr>
        <w:t>8. If the total exceeds the threshold, publish an energy-alerts event.</w:t>
      </w:r>
    </w:p>
    <w:p>
      <w:pPr>
        <w:widowControl/>
        <w:spacing w:after="20"/>
        <w:ind w:left="340" w:hanging="255"/>
      </w:pPr>
      <w:r>
        <w:rPr>
          <w:rFonts w:ascii="Times New Roman" w:hAnsi="Times New Roman" w:eastAsia="Times New Roman"/>
          <w:b w:val="0"/>
          <w:i w:val="0"/>
          <w:color w:val="000000"/>
          <w:sz w:val="22"/>
        </w:rPr>
        <w:t>9. Return control to asynchronous consumers; dashboard queries retrieve stored aggregates separately.</w:t>
      </w:r>
    </w:p>
    <w:p>
      <w:pPr>
        <w:spacing w:after="20"/>
      </w:pPr>
    </w:p>
    <w:p>
      <w:pPr>
        <w:widowControl/>
        <w:spacing w:before="140" w:after="60"/>
      </w:pPr>
      <w:r>
        <w:rPr>
          <w:rFonts w:ascii="Times New Roman" w:hAnsi="Times New Roman" w:eastAsia="Times New Roman"/>
          <w:b/>
          <w:i w:val="0"/>
          <w:color w:val="000000"/>
          <w:sz w:val="22"/>
        </w:rPr>
        <w:t>Algorithm 2: Deterministic energy insight generation</w:t>
      </w:r>
    </w:p>
    <w:p>
      <w:pPr>
        <w:widowControl/>
        <w:spacing w:after="20"/>
        <w:ind w:left="340"/>
      </w:pPr>
      <w:r>
        <w:rPr>
          <w:rFonts w:ascii="Times New Roman" w:hAnsi="Times New Roman" w:eastAsia="Times New Roman"/>
          <w:b/>
          <w:i w:val="0"/>
          <w:color w:val="000000"/>
          <w:sz w:val="22"/>
        </w:rPr>
        <w:t xml:space="preserve">Input: </w:t>
      </w:r>
      <w:r>
        <w:rPr>
          <w:rFonts w:ascii="Times New Roman" w:hAnsi="Times New Roman" w:eastAsia="Times New Roman"/>
          <w:b w:val="0"/>
          <w:i w:val="0"/>
          <w:color w:val="000000"/>
          <w:sz w:val="22"/>
        </w:rPr>
        <w:t>Selected user u; observation length D; per-device energy totals; tariff configuration.</w:t>
      </w:r>
    </w:p>
    <w:p>
      <w:pPr>
        <w:widowControl/>
        <w:spacing w:after="20"/>
        <w:ind w:left="340"/>
      </w:pPr>
      <w:r>
        <w:rPr>
          <w:rFonts w:ascii="Times New Roman" w:hAnsi="Times New Roman" w:eastAsia="Times New Roman"/>
          <w:b/>
          <w:i w:val="0"/>
          <w:color w:val="000000"/>
          <w:sz w:val="22"/>
        </w:rPr>
        <w:t xml:space="preserve">Output: </w:t>
      </w:r>
      <w:r>
        <w:rPr>
          <w:rFonts w:ascii="Times New Roman" w:hAnsi="Times New Roman" w:eastAsia="Times New Roman"/>
          <w:b w:val="0"/>
          <w:i w:val="0"/>
          <w:color w:val="000000"/>
          <w:sz w:val="22"/>
        </w:rPr>
        <w:t>Bill forecast, appliance ranking, standby estimate, and recommendation text.</w:t>
      </w:r>
    </w:p>
    <w:p>
      <w:pPr>
        <w:widowControl/>
        <w:spacing w:after="20"/>
        <w:ind w:left="340" w:hanging="255"/>
      </w:pPr>
      <w:r>
        <w:rPr>
          <w:rFonts w:ascii="Times New Roman" w:hAnsi="Times New Roman" w:eastAsia="Times New Roman"/>
          <w:b w:val="0"/>
          <w:i w:val="0"/>
          <w:color w:val="000000"/>
          <w:sz w:val="22"/>
        </w:rPr>
        <w:t>1. Retrieve per-device totals for user u over D days.</w:t>
      </w:r>
    </w:p>
    <w:p>
      <w:pPr>
        <w:widowControl/>
        <w:spacing w:after="20"/>
        <w:ind w:left="340" w:hanging="255"/>
      </w:pPr>
      <w:r>
        <w:rPr>
          <w:rFonts w:ascii="Times New Roman" w:hAnsi="Times New Roman" w:eastAsia="Times New Roman"/>
          <w:b w:val="0"/>
          <w:i w:val="0"/>
          <w:color w:val="000000"/>
          <w:sz w:val="22"/>
        </w:rPr>
        <w:t>2. Compute E_tot by summing the device totals.</w:t>
      </w:r>
    </w:p>
    <w:p>
      <w:pPr>
        <w:widowControl/>
        <w:spacing w:after="20"/>
        <w:ind w:left="340" w:hanging="255"/>
      </w:pPr>
      <w:r>
        <w:rPr>
          <w:rFonts w:ascii="Times New Roman" w:hAnsi="Times New Roman" w:eastAsia="Times New Roman"/>
          <w:b w:val="0"/>
          <w:i w:val="0"/>
          <w:color w:val="000000"/>
          <w:sz w:val="22"/>
        </w:rPr>
        <w:t>3. Compute E_day = E_tot / max(D, 1) and E_30 = 30 x E_day.</w:t>
      </w:r>
    </w:p>
    <w:p>
      <w:pPr>
        <w:widowControl/>
        <w:spacing w:after="20"/>
        <w:ind w:left="340" w:hanging="255"/>
      </w:pPr>
      <w:r>
        <w:rPr>
          <w:rFonts w:ascii="Times New Roman" w:hAnsi="Times New Roman" w:eastAsia="Times New Roman"/>
          <w:b w:val="0"/>
          <w:i w:val="0"/>
          <w:color w:val="000000"/>
          <w:sz w:val="22"/>
        </w:rPr>
        <w:t>4. Apply the configured slab function to calculate current and projected costs.</w:t>
      </w:r>
    </w:p>
    <w:p>
      <w:pPr>
        <w:widowControl/>
        <w:spacing w:after="20"/>
        <w:ind w:left="340" w:hanging="255"/>
      </w:pPr>
      <w:r>
        <w:rPr>
          <w:rFonts w:ascii="Times New Roman" w:hAnsi="Times New Roman" w:eastAsia="Times New Roman"/>
          <w:b w:val="0"/>
          <w:i w:val="0"/>
          <w:color w:val="000000"/>
          <w:sz w:val="22"/>
        </w:rPr>
        <w:t>5. Sort devices by descending energyConsumed and calculate each contribution percentage.</w:t>
      </w:r>
    </w:p>
    <w:p>
      <w:pPr>
        <w:widowControl/>
        <w:spacing w:after="20"/>
        <w:ind w:left="340" w:hanging="255"/>
      </w:pPr>
      <w:r>
        <w:rPr>
          <w:rFonts w:ascii="Times New Roman" w:hAnsi="Times New Roman" w:eastAsia="Times New Roman"/>
          <w:b w:val="0"/>
          <w:i w:val="0"/>
          <w:color w:val="000000"/>
          <w:sz w:val="22"/>
        </w:rPr>
        <w:t>6. Compute P_base = 0.20 x (E_tot / (24D)) x 1000.</w:t>
      </w:r>
    </w:p>
    <w:p>
      <w:pPr>
        <w:widowControl/>
        <w:spacing w:after="20"/>
        <w:ind w:left="340" w:hanging="255"/>
      </w:pPr>
      <w:r>
        <w:rPr>
          <w:rFonts w:ascii="Times New Roman" w:hAnsi="Times New Roman" w:eastAsia="Times New Roman"/>
          <w:b w:val="0"/>
          <w:i w:val="0"/>
          <w:color w:val="000000"/>
          <w:sz w:val="22"/>
        </w:rPr>
        <w:t>7. Derive standby daily/monthly kWh, cost, and LOW/MEDIUM/HIGH risk from P_base.</w:t>
      </w:r>
    </w:p>
    <w:p>
      <w:pPr>
        <w:widowControl/>
        <w:spacing w:after="20"/>
        <w:ind w:left="340" w:hanging="255"/>
      </w:pPr>
      <w:r>
        <w:rPr>
          <w:rFonts w:ascii="Times New Roman" w:hAnsi="Times New Roman" w:eastAsia="Times New Roman"/>
          <w:b w:val="0"/>
          <w:i w:val="0"/>
          <w:color w:val="000000"/>
          <w:sz w:val="22"/>
        </w:rPr>
        <w:t>8. If Ollama is available, request concise wording using deterministic outputs; otherwise create fallback wording.</w:t>
      </w:r>
    </w:p>
    <w:p>
      <w:pPr>
        <w:widowControl/>
        <w:spacing w:after="20"/>
        <w:ind w:left="340" w:hanging="255"/>
      </w:pPr>
      <w:r>
        <w:rPr>
          <w:rFonts w:ascii="Times New Roman" w:hAnsi="Times New Roman" w:eastAsia="Times New Roman"/>
          <w:b w:val="0"/>
          <w:i w:val="0"/>
          <w:color w:val="000000"/>
          <w:sz w:val="22"/>
        </w:rPr>
        <w:t>9. Return numeric outputs and the associated explanation.</w:t>
      </w:r>
    </w:p>
    <w:p>
      <w:pPr>
        <w:spacing w:after="20"/>
      </w:pPr>
    </w:p>
    <w:p>
      <w:pPr>
        <w:pStyle w:val="Heading2"/>
        <w:keepNext/>
        <w:widowControl/>
        <w:spacing w:before="160" w:after="100"/>
      </w:pPr>
      <w:r>
        <w:rPr>
          <w:rFonts w:ascii="Times New Roman" w:hAnsi="Times New Roman" w:eastAsia="Times New Roman"/>
          <w:b/>
          <w:i w:val="0"/>
          <w:color w:val="000000"/>
          <w:sz w:val="24"/>
        </w:rPr>
        <w:t>3.5 Workflow of the Proposed System</w:t>
      </w:r>
    </w:p>
    <w:p>
      <w:pPr>
        <w:widowControl/>
        <w:spacing w:after="120" w:before="60" w:line="240" w:lineRule="auto"/>
        <w:ind w:firstLine="0"/>
        <w:jc w:val="center"/>
      </w:pPr>
      <w:r>
        <w:rPr>
          <w:rFonts w:ascii="Times New Roman" w:hAnsi="Times New Roman" w:eastAsia="Times New Roman"/>
          <w:b w:val="0"/>
          <w:i/>
          <w:color w:val="000000"/>
          <w:sz w:val="21"/>
        </w:rPr>
        <w:t>Fig. 2 illustrates the complete operational workflow. It starts with a generated telemetry input and ends with functional evaluation evidence and user-facing output. The flow makes clear that event processing, analytics, and alerting are distinct steps, and that no supervised learning stage is present in the current implementation.</w:t>
      </w:r>
    </w:p>
    <w:p>
      <w:pPr>
        <w:jc w:val="center"/>
      </w:pPr>
      <w:r>
        <w:drawing>
          <wp:inline xmlns:a="http://schemas.openxmlformats.org/drawingml/2006/main" xmlns:pic="http://schemas.openxmlformats.org/drawingml/2006/picture">
            <wp:extent cx="5989320" cy="2341280"/>
            <wp:docPr id="2" name="Picture 2" title="Workflow from Wokwi telemetry input through validation, storage, analysis, evaluation, and user output." descr="Workflow from Wokwi telemetry input through validation, storage, analysis, evaluation, and user output."/>
            <wp:cNvGraphicFramePr>
              <a:graphicFrameLocks noChangeAspect="1"/>
            </wp:cNvGraphicFramePr>
            <a:graphic>
              <a:graphicData uri="http://schemas.openxmlformats.org/drawingml/2006/picture">
                <pic:pic>
                  <pic:nvPicPr>
                    <pic:cNvPr id="0" name="fig_2_proposed_workflow.png"/>
                    <pic:cNvPicPr/>
                  </pic:nvPicPr>
                  <pic:blipFill>
                    <a:blip r:embed="rId101"/>
                    <a:stretch>
                      <a:fillRect/>
                    </a:stretch>
                  </pic:blipFill>
                  <pic:spPr>
                    <a:xfrm>
                      <a:off x="0" y="0"/>
                      <a:ext cx="5989320" cy="2341280"/>
                    </a:xfrm>
                    <a:prstGeom prst="rect"/>
                  </pic:spPr>
                </pic:pic>
              </a:graphicData>
            </a:graphic>
          </wp:inline>
        </w:drawing>
      </w:r>
    </w:p>
    <w:p>
      <w:pPr>
        <w:widowControl/>
        <w:spacing w:after="120" w:before="60" w:line="240" w:lineRule="auto"/>
        <w:jc w:val="center"/>
      </w:pPr>
      <w:r>
        <w:rPr>
          <w:rFonts w:ascii="Times New Roman" w:hAnsi="Times New Roman" w:eastAsia="Times New Roman"/>
          <w:b w:val="0"/>
          <w:i/>
          <w:color w:val="000000"/>
          <w:sz w:val="21"/>
        </w:rPr>
        <w:t>Fig. 2. Workflow of the proposed Home Energy Tracker.</w:t>
      </w:r>
    </w:p>
    <w:p>
      <w:pPr>
        <w:widowControl/>
        <w:spacing w:after="100" w:before="0" w:line="276" w:lineRule="auto"/>
        <w:ind w:firstLine="0"/>
        <w:jc w:val="both"/>
      </w:pPr>
      <w:r>
        <w:rPr>
          <w:rFonts w:ascii="Times New Roman" w:hAnsi="Times New Roman" w:eastAsia="Times New Roman"/>
          <w:b w:val="0"/>
          <w:i w:val="0"/>
          <w:color w:val="000000"/>
          <w:sz w:val="22"/>
        </w:rPr>
        <w:t>After validation, each reading is made durable in the time-series layer through the Kafka-to-Usage-Service path. The stored data are queried over an explicit time range before deterministic analytics are calculated. Threshold evaluation produces an additional branch only when the household total exceeds its configured value. The evaluation stage does not assert performance; it records the evidence required to evaluate the implementation once controlled runs are conducted.</w:t>
      </w:r>
    </w:p>
    <w:p>
      <w:pPr>
        <w:pStyle w:val="Heading1"/>
        <w:keepNext/>
        <w:widowControl/>
        <w:spacing w:before="220" w:after="100"/>
      </w:pPr>
      <w:r>
        <w:rPr>
          <w:rFonts w:ascii="Times New Roman" w:hAnsi="Times New Roman" w:eastAsia="Times New Roman"/>
          <w:b/>
          <w:i w:val="0"/>
          <w:color w:val="000000"/>
          <w:sz w:val="28"/>
        </w:rPr>
        <w:t>4. IMPLEMENTATION AND EXPERIMENTAL SETUP</w:t>
      </w:r>
    </w:p>
    <w:p>
      <w:pPr>
        <w:pStyle w:val="Heading2"/>
        <w:keepNext/>
        <w:widowControl/>
        <w:spacing w:before="160" w:after="100"/>
      </w:pPr>
      <w:r>
        <w:rPr>
          <w:rFonts w:ascii="Times New Roman" w:hAnsi="Times New Roman" w:eastAsia="Times New Roman"/>
          <w:b/>
          <w:i w:val="0"/>
          <w:color w:val="000000"/>
          <w:sz w:val="24"/>
        </w:rPr>
        <w:t>4.1 Hardware Requirements</w:t>
      </w:r>
    </w:p>
    <w:p>
      <w:pPr>
        <w:widowControl/>
        <w:spacing w:after="100" w:before="0" w:line="276" w:lineRule="auto"/>
        <w:ind w:firstLine="0"/>
        <w:jc w:val="both"/>
      </w:pPr>
      <w:r>
        <w:rPr>
          <w:rFonts w:ascii="Times New Roman" w:hAnsi="Times New Roman" w:eastAsia="Times New Roman"/>
          <w:b w:val="0"/>
          <w:i w:val="0"/>
          <w:color w:val="000000"/>
          <w:sz w:val="22"/>
        </w:rPr>
        <w:t>The current implementation is simulation-based. It does not require a physical smart meter, current transformer, voltage sensor, or PZEM module for the Review-2 experiment. The Wokwi ESP32 environment is used to validate the firmware and API contract. Host-computer specifications must be reported from the machine used for final experiments.</w:t>
      </w:r>
    </w:p>
    <w:p>
      <w:pPr>
        <w:widowControl/>
        <w:spacing w:after="120" w:before="60" w:line="240" w:lineRule="auto"/>
        <w:jc w:val="center"/>
      </w:pPr>
      <w:r>
        <w:rPr>
          <w:rFonts w:ascii="Times New Roman" w:hAnsi="Times New Roman" w:eastAsia="Times New Roman"/>
          <w:b w:val="0"/>
          <w:i/>
          <w:color w:val="000000"/>
          <w:sz w:val="21"/>
        </w:rPr>
        <w:t>Table 2. Hardware requirements for the current prototype.</w:t>
      </w:r>
    </w:p>
    <w:tbl>
      <w:tblPr>
        <w:tblStyle w:val="TableGrid"/>
        <w:tblW w:type="auto" w:w="0"/>
        <w:jc w:val="center"/>
        <w:tblLayout w:type="autofit"/>
        <w:tblLook w:firstColumn="1" w:firstRow="1" w:lastColumn="0" w:lastRow="0" w:noHBand="0" w:noVBand="1" w:val="04A0"/>
      </w:tblPr>
      <w:tblGrid>
        <w:gridCol w:w="3362"/>
        <w:gridCol w:w="3362"/>
        <w:gridCol w:w="3362"/>
      </w:tblGrid>
      <w:tr>
        <w:trPr>
          <w:tblHeader w:val="true"/>
          <w:tblHeader w:val="true"/>
        </w:trPr>
        <w:tc>
          <w:tcPr>
            <w:tcW w:type="dxa" w:w="2160"/>
            <w:vAlign w:val="center"/>
            <w:shd w:fill="D9E2F3"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center"/>
            </w:pPr>
            <w:r>
              <w:rPr>
                <w:rFonts w:ascii="Times New Roman" w:hAnsi="Times New Roman" w:eastAsia="Times New Roman"/>
                <w:b/>
                <w:color w:val="000000"/>
                <w:sz w:val="20"/>
              </w:rPr>
            </w:r>
            <w:r>
              <w:rPr>
                <w:rFonts w:ascii="Times New Roman" w:hAnsi="Times New Roman" w:eastAsia="Times New Roman"/>
                <w:b/>
                <w:i w:val="0"/>
                <w:color w:val="000000"/>
                <w:sz w:val="20"/>
              </w:rPr>
              <w:t>Component</w:t>
            </w:r>
          </w:p>
        </w:tc>
        <w:tc>
          <w:tcPr>
            <w:tcW w:type="dxa" w:w="3240"/>
            <w:vAlign w:val="center"/>
            <w:shd w:fill="D9E2F3"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center"/>
            </w:pPr>
            <w:r>
              <w:rPr>
                <w:rFonts w:ascii="Times New Roman" w:hAnsi="Times New Roman" w:eastAsia="Times New Roman"/>
                <w:b/>
                <w:color w:val="000000"/>
                <w:sz w:val="20"/>
              </w:rPr>
            </w:r>
            <w:r>
              <w:rPr>
                <w:rFonts w:ascii="Times New Roman" w:hAnsi="Times New Roman" w:eastAsia="Times New Roman"/>
                <w:b/>
                <w:i w:val="0"/>
                <w:color w:val="000000"/>
                <w:sz w:val="20"/>
              </w:rPr>
              <w:t>Specification</w:t>
            </w:r>
          </w:p>
        </w:tc>
        <w:tc>
          <w:tcPr>
            <w:tcW w:type="dxa" w:w="4032"/>
            <w:vAlign w:val="center"/>
            <w:shd w:fill="D9E2F3"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center"/>
            </w:pPr>
            <w:r>
              <w:rPr>
                <w:rFonts w:ascii="Times New Roman" w:hAnsi="Times New Roman" w:eastAsia="Times New Roman"/>
                <w:b/>
                <w:color w:val="000000"/>
                <w:sz w:val="20"/>
              </w:rPr>
            </w:r>
            <w:r>
              <w:rPr>
                <w:rFonts w:ascii="Times New Roman" w:hAnsi="Times New Roman" w:eastAsia="Times New Roman"/>
                <w:b/>
                <w:i w:val="0"/>
                <w:color w:val="000000"/>
                <w:sz w:val="20"/>
              </w:rPr>
              <w:t>Purpose</w:t>
            </w:r>
          </w:p>
        </w:tc>
      </w:tr>
      <w:tr>
        <w:tc>
          <w:tcPr>
            <w:tcW w:type="dxa" w:w="2160"/>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Development computer</w:t>
            </w:r>
          </w:p>
        </w:tc>
        <w:tc>
          <w:tcPr>
            <w:tcW w:type="dxa" w:w="3240"/>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[TO BE PROVIDED: processor, RAM, operating system, and storage]</w:t>
            </w:r>
          </w:p>
        </w:tc>
        <w:tc>
          <w:tcPr>
            <w:tcW w:type="dxa" w:w="4032"/>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Runs Docker containers, browser dashboard, VS Code, and local verification tools.</w:t>
            </w:r>
          </w:p>
        </w:tc>
      </w:tr>
      <w:tr>
        <w:tc>
          <w:tcPr>
            <w:tcW w:type="dxa" w:w="2160"/>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Virtual ESP32 DevKit</w:t>
            </w:r>
          </w:p>
        </w:tc>
        <w:tc>
          <w:tcPr>
            <w:tcW w:type="dxa" w:w="3240"/>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ESP32 DevKit simulated in Wokwi</w:t>
            </w:r>
          </w:p>
        </w:tc>
        <w:tc>
          <w:tcPr>
            <w:tcW w:type="dxa" w:w="4032"/>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Executes Arduino firmware and submits test telemetry.</w:t>
            </w:r>
          </w:p>
        </w:tc>
      </w:tr>
      <w:tr>
        <w:tc>
          <w:tcPr>
            <w:tcW w:type="dxa" w:w="2160"/>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Virtual potentiometer and buttons</w:t>
            </w:r>
          </w:p>
        </w:tc>
        <w:tc>
          <w:tcPr>
            <w:tcW w:type="dxa" w:w="3240"/>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One potentiometer and three pushbuttons in Wokwi</w:t>
            </w:r>
          </w:p>
        </w:tc>
        <w:tc>
          <w:tcPr>
            <w:tcW w:type="dxa" w:w="4032"/>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Select controlled Eco, Heavy, and Alert Test telemetry scenarios.</w:t>
            </w:r>
          </w:p>
        </w:tc>
      </w:tr>
      <w:tr>
        <w:tc>
          <w:tcPr>
            <w:tcW w:type="dxa" w:w="2160"/>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Virtual OLED</w:t>
            </w:r>
          </w:p>
        </w:tc>
        <w:tc>
          <w:tcPr>
            <w:tcW w:type="dxa" w:w="3240"/>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SSD1306 OLED simulated through I2C</w:t>
            </w:r>
          </w:p>
        </w:tc>
        <w:tc>
          <w:tcPr>
            <w:tcW w:type="dxa" w:w="4032"/>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Displays mode, simulated kWh, Wi-Fi state, and HTTP response status.</w:t>
            </w:r>
          </w:p>
        </w:tc>
      </w:tr>
      <w:tr>
        <w:tc>
          <w:tcPr>
            <w:tcW w:type="dxa" w:w="2160"/>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Physical energy sensor</w:t>
            </w:r>
          </w:p>
        </w:tc>
        <w:tc>
          <w:tcPr>
            <w:tcW w:type="dxa" w:w="3240"/>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Not used in the current prototype</w:t>
            </w:r>
          </w:p>
        </w:tc>
        <w:tc>
          <w:tcPr>
            <w:tcW w:type="dxa" w:w="4032"/>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[TO BE PROVIDED only if a calibrated meter is added for final evaluation.]</w:t>
            </w:r>
          </w:p>
        </w:tc>
      </w:tr>
    </w:tbl>
    <w:p>
      <w:pPr>
        <w:spacing w:after="20"/>
      </w:pPr>
    </w:p>
    <w:p>
      <w:pPr>
        <w:pStyle w:val="Heading2"/>
        <w:keepNext/>
        <w:widowControl/>
        <w:spacing w:before="160" w:after="100"/>
      </w:pPr>
      <w:r>
        <w:rPr>
          <w:rFonts w:ascii="Times New Roman" w:hAnsi="Times New Roman" w:eastAsia="Times New Roman"/>
          <w:b/>
          <w:i w:val="0"/>
          <w:color w:val="000000"/>
          <w:sz w:val="24"/>
        </w:rPr>
        <w:t>4.2 Software Requirements</w:t>
      </w:r>
    </w:p>
    <w:p>
      <w:pPr>
        <w:widowControl/>
        <w:spacing w:after="120" w:before="60" w:line="240" w:lineRule="auto"/>
        <w:jc w:val="center"/>
      </w:pPr>
      <w:r>
        <w:rPr>
          <w:rFonts w:ascii="Times New Roman" w:hAnsi="Times New Roman" w:eastAsia="Times New Roman"/>
          <w:b w:val="0"/>
          <w:i/>
          <w:color w:val="000000"/>
          <w:sz w:val="21"/>
        </w:rPr>
        <w:t>Table 3. Software platforms and versions evidenced by the current repository.</w:t>
      </w:r>
    </w:p>
    <w:tbl>
      <w:tblPr>
        <w:tblStyle w:val="TableGrid"/>
        <w:tblW w:type="auto" w:w="0"/>
        <w:jc w:val="center"/>
        <w:tblLayout w:type="autofit"/>
        <w:tblLook w:firstColumn="1" w:firstRow="1" w:lastColumn="0" w:lastRow="0" w:noHBand="0" w:noVBand="1" w:val="04A0"/>
      </w:tblPr>
      <w:tblGrid>
        <w:gridCol w:w="3362"/>
        <w:gridCol w:w="3362"/>
        <w:gridCol w:w="3362"/>
      </w:tblGrid>
      <w:tr>
        <w:trPr>
          <w:tblHeader w:val="true"/>
          <w:tblHeader w:val="true"/>
        </w:trPr>
        <w:tc>
          <w:tcPr>
            <w:tcW w:type="dxa" w:w="2520"/>
            <w:vAlign w:val="center"/>
            <w:shd w:fill="D9E2F3"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center"/>
            </w:pPr>
            <w:r>
              <w:rPr>
                <w:rFonts w:ascii="Times New Roman" w:hAnsi="Times New Roman" w:eastAsia="Times New Roman"/>
                <w:b/>
                <w:color w:val="000000"/>
                <w:sz w:val="20"/>
              </w:rPr>
            </w:r>
            <w:r>
              <w:rPr>
                <w:rFonts w:ascii="Times New Roman" w:hAnsi="Times New Roman" w:eastAsia="Times New Roman"/>
                <w:b/>
                <w:i w:val="0"/>
                <w:color w:val="000000"/>
                <w:sz w:val="20"/>
              </w:rPr>
              <w:t>Software or platform</w:t>
            </w:r>
          </w:p>
        </w:tc>
        <w:tc>
          <w:tcPr>
            <w:tcW w:type="dxa" w:w="2448"/>
            <w:vAlign w:val="center"/>
            <w:shd w:fill="D9E2F3"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center"/>
            </w:pPr>
            <w:r>
              <w:rPr>
                <w:rFonts w:ascii="Times New Roman" w:hAnsi="Times New Roman" w:eastAsia="Times New Roman"/>
                <w:b/>
                <w:color w:val="000000"/>
                <w:sz w:val="20"/>
              </w:rPr>
            </w:r>
            <w:r>
              <w:rPr>
                <w:rFonts w:ascii="Times New Roman" w:hAnsi="Times New Roman" w:eastAsia="Times New Roman"/>
                <w:b/>
                <w:i w:val="0"/>
                <w:color w:val="000000"/>
                <w:sz w:val="20"/>
              </w:rPr>
              <w:t>Version</w:t>
            </w:r>
          </w:p>
        </w:tc>
        <w:tc>
          <w:tcPr>
            <w:tcW w:type="dxa" w:w="4464"/>
            <w:vAlign w:val="center"/>
            <w:shd w:fill="D9E2F3"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center"/>
            </w:pPr>
            <w:r>
              <w:rPr>
                <w:rFonts w:ascii="Times New Roman" w:hAnsi="Times New Roman" w:eastAsia="Times New Roman"/>
                <w:b/>
                <w:color w:val="000000"/>
                <w:sz w:val="20"/>
              </w:rPr>
            </w:r>
            <w:r>
              <w:rPr>
                <w:rFonts w:ascii="Times New Roman" w:hAnsi="Times New Roman" w:eastAsia="Times New Roman"/>
                <w:b/>
                <w:i w:val="0"/>
                <w:color w:val="000000"/>
                <w:sz w:val="20"/>
              </w:rPr>
              <w:t>Purpose</w:t>
            </w:r>
          </w:p>
        </w:tc>
      </w:tr>
      <w:tr>
        <w:tc>
          <w:tcPr>
            <w:tcW w:type="dxa" w:w="2520"/>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Java</w:t>
            </w:r>
          </w:p>
        </w:tc>
        <w:tc>
          <w:tcPr>
            <w:tcW w:type="dxa" w:w="2448"/>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17</w:t>
            </w:r>
          </w:p>
        </w:tc>
        <w:tc>
          <w:tcPr>
            <w:tcW w:type="dxa" w:w="4464"/>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Builds and runs the Spring Boot services.</w:t>
            </w:r>
          </w:p>
        </w:tc>
      </w:tr>
      <w:tr>
        <w:tc>
          <w:tcPr>
            <w:tcW w:type="dxa" w:w="2520"/>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Spring Boot</w:t>
            </w:r>
          </w:p>
        </w:tc>
        <w:tc>
          <w:tcPr>
            <w:tcW w:type="dxa" w:w="2448"/>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3.5.3</w:t>
            </w:r>
          </w:p>
        </w:tc>
        <w:tc>
          <w:tcPr>
            <w:tcW w:type="dxa" w:w="4464"/>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Implements the Insight Service; [TO BE PROVIDED: confirm uniform version across all services].</w:t>
            </w:r>
          </w:p>
        </w:tc>
      </w:tr>
      <w:tr>
        <w:tc>
          <w:tcPr>
            <w:tcW w:type="dxa" w:w="2520"/>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React</w:t>
            </w:r>
          </w:p>
        </w:tc>
        <w:tc>
          <w:tcPr>
            <w:tcW w:type="dxa" w:w="2448"/>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19.2.8</w:t>
            </w:r>
          </w:p>
        </w:tc>
        <w:tc>
          <w:tcPr>
            <w:tcW w:type="dxa" w:w="4464"/>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Implements the web dashboard.</w:t>
            </w:r>
          </w:p>
        </w:tc>
      </w:tr>
      <w:tr>
        <w:tc>
          <w:tcPr>
            <w:tcW w:type="dxa" w:w="2520"/>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Vite</w:t>
            </w:r>
          </w:p>
        </w:tc>
        <w:tc>
          <w:tcPr>
            <w:tcW w:type="dxa" w:w="2448"/>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8.2.2</w:t>
            </w:r>
          </w:p>
        </w:tc>
        <w:tc>
          <w:tcPr>
            <w:tcW w:type="dxa" w:w="4464"/>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Frontend development and build tool.</w:t>
            </w:r>
          </w:p>
        </w:tc>
      </w:tr>
      <w:tr>
        <w:tc>
          <w:tcPr>
            <w:tcW w:type="dxa" w:w="2520"/>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TypeScript</w:t>
            </w:r>
          </w:p>
        </w:tc>
        <w:tc>
          <w:tcPr>
            <w:tcW w:type="dxa" w:w="2448"/>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6.0.2</w:t>
            </w:r>
          </w:p>
        </w:tc>
        <w:tc>
          <w:tcPr>
            <w:tcW w:type="dxa" w:w="4464"/>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Frontend language and type checking.</w:t>
            </w:r>
          </w:p>
        </w:tc>
      </w:tr>
      <w:tr>
        <w:tc>
          <w:tcPr>
            <w:tcW w:type="dxa" w:w="2520"/>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Tailwind CSS</w:t>
            </w:r>
          </w:p>
        </w:tc>
        <w:tc>
          <w:tcPr>
            <w:tcW w:type="dxa" w:w="2448"/>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4.3.3</w:t>
            </w:r>
          </w:p>
        </w:tc>
        <w:tc>
          <w:tcPr>
            <w:tcW w:type="dxa" w:w="4464"/>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Dashboard styling.</w:t>
            </w:r>
          </w:p>
        </w:tc>
      </w:tr>
      <w:tr>
        <w:tc>
          <w:tcPr>
            <w:tcW w:type="dxa" w:w="2520"/>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Apache Kafka</w:t>
            </w:r>
          </w:p>
        </w:tc>
        <w:tc>
          <w:tcPr>
            <w:tcW w:type="dxa" w:w="2448"/>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Container image tag latest in compose file</w:t>
            </w:r>
          </w:p>
        </w:tc>
        <w:tc>
          <w:tcPr>
            <w:tcW w:type="dxa" w:w="4464"/>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Asynchronous event broker; exact run-time version [TO BE PROVIDED].</w:t>
            </w:r>
          </w:p>
        </w:tc>
      </w:tr>
      <w:tr>
        <w:tc>
          <w:tcPr>
            <w:tcW w:type="dxa" w:w="2520"/>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MySQL</w:t>
            </w:r>
          </w:p>
        </w:tc>
        <w:tc>
          <w:tcPr>
            <w:tcW w:type="dxa" w:w="2448"/>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8.3.0</w:t>
            </w:r>
          </w:p>
        </w:tc>
        <w:tc>
          <w:tcPr>
            <w:tcW w:type="dxa" w:w="4464"/>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Stores user, device, and alert records.</w:t>
            </w:r>
          </w:p>
        </w:tc>
      </w:tr>
      <w:tr>
        <w:tc>
          <w:tcPr>
            <w:tcW w:type="dxa" w:w="2520"/>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InfluxDB</w:t>
            </w:r>
          </w:p>
        </w:tc>
        <w:tc>
          <w:tcPr>
            <w:tcW w:type="dxa" w:w="2448"/>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2.7</w:t>
            </w:r>
          </w:p>
        </w:tc>
        <w:tc>
          <w:tcPr>
            <w:tcW w:type="dxa" w:w="4464"/>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Stores timestamped energy usage.</w:t>
            </w:r>
          </w:p>
        </w:tc>
      </w:tr>
      <w:tr>
        <w:tc>
          <w:tcPr>
            <w:tcW w:type="dxa" w:w="2520"/>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Docker and Docker Compose</w:t>
            </w:r>
          </w:p>
        </w:tc>
        <w:tc>
          <w:tcPr>
            <w:tcW w:type="dxa" w:w="2448"/>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[TO BE PROVIDED: installed version]</w:t>
            </w:r>
          </w:p>
        </w:tc>
        <w:tc>
          <w:tcPr>
            <w:tcW w:type="dxa" w:w="4464"/>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Runs the local multi-service environment.</w:t>
            </w:r>
          </w:p>
        </w:tc>
      </w:tr>
      <w:tr>
        <w:tc>
          <w:tcPr>
            <w:tcW w:type="dxa" w:w="2520"/>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PlatformIO and Wokwi</w:t>
            </w:r>
          </w:p>
        </w:tc>
        <w:tc>
          <w:tcPr>
            <w:tcW w:type="dxa" w:w="2448"/>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[TO BE PROVIDED: installed version]</w:t>
            </w:r>
          </w:p>
        </w:tc>
        <w:tc>
          <w:tcPr>
            <w:tcW w:type="dxa" w:w="4464"/>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Build and simulate the ESP32 firmware.</w:t>
            </w:r>
          </w:p>
        </w:tc>
      </w:tr>
      <w:tr>
        <w:tc>
          <w:tcPr>
            <w:tcW w:type="dxa" w:w="2520"/>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Ollama and Spring AI</w:t>
            </w:r>
          </w:p>
        </w:tc>
        <w:tc>
          <w:tcPr>
            <w:tcW w:type="dxa" w:w="2448"/>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Spring AI 1.0.3; Ollama version [TO BE PROVIDED]</w:t>
            </w:r>
          </w:p>
        </w:tc>
        <w:tc>
          <w:tcPr>
            <w:tcW w:type="dxa" w:w="4464"/>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Optional natural-language savings-tip generation with fallback.</w:t>
            </w:r>
          </w:p>
        </w:tc>
      </w:tr>
      <w:tr>
        <w:tc>
          <w:tcPr>
            <w:tcW w:type="dxa" w:w="2520"/>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Mailpit</w:t>
            </w:r>
          </w:p>
        </w:tc>
        <w:tc>
          <w:tcPr>
            <w:tcW w:type="dxa" w:w="2448"/>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Container image tag latest in compose file</w:t>
            </w:r>
          </w:p>
        </w:tc>
        <w:tc>
          <w:tcPr>
            <w:tcW w:type="dxa" w:w="4464"/>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Captures demonstration emails locally.</w:t>
            </w:r>
          </w:p>
        </w:tc>
      </w:tr>
    </w:tbl>
    <w:p>
      <w:pPr>
        <w:spacing w:after="20"/>
      </w:pPr>
    </w:p>
    <w:p>
      <w:pPr>
        <w:pStyle w:val="Heading2"/>
        <w:keepNext/>
        <w:widowControl/>
        <w:spacing w:before="160" w:after="100"/>
      </w:pPr>
      <w:r>
        <w:rPr>
          <w:rFonts w:ascii="Times New Roman" w:hAnsi="Times New Roman" w:eastAsia="Times New Roman"/>
          <w:b/>
          <w:i w:val="0"/>
          <w:color w:val="000000"/>
          <w:sz w:val="24"/>
        </w:rPr>
        <w:t>4.3 Dataset Details</w:t>
      </w:r>
    </w:p>
    <w:p>
      <w:pPr>
        <w:widowControl/>
        <w:spacing w:after="100" w:before="0" w:line="276" w:lineRule="auto"/>
        <w:ind w:firstLine="0"/>
        <w:jc w:val="both"/>
      </w:pPr>
      <w:r>
        <w:rPr>
          <w:rFonts w:ascii="Times New Roman" w:hAnsi="Times New Roman" w:eastAsia="Times New Roman"/>
          <w:b w:val="0"/>
          <w:i w:val="0"/>
          <w:color w:val="000000"/>
          <w:sz w:val="22"/>
        </w:rPr>
        <w:t>No external benchmark dataset or labelled training corpus is used by the current prototype. The operative data source is a synthetic telemetry stream produced by the Wokwi ESP32 firmware. Each observation is a JSON event rather than a row from a pre-existing dataset. Consequently, a target variable and train/validation/test split are not applicable unless a future supervised anomaly-detection study is added.</w:t>
      </w:r>
    </w:p>
    <w:p>
      <w:pPr>
        <w:widowControl/>
        <w:spacing w:after="100" w:before="0" w:line="276" w:lineRule="auto"/>
        <w:ind w:firstLine="0"/>
        <w:jc w:val="both"/>
      </w:pPr>
      <w:r>
        <w:rPr>
          <w:rFonts w:ascii="Times New Roman" w:hAnsi="Times New Roman" w:eastAsia="Times New Roman"/>
          <w:b w:val="0"/>
          <w:i w:val="0"/>
          <w:color w:val="000000"/>
          <w:sz w:val="22"/>
        </w:rPr>
        <w:t>The firmware submits a record at an 8 s interval and generates controlled energyConsumed values according to the chosen mode. The raw payload is validated by the Ingestion Service and is transformed into a Kafka event. The Usage Service stores the time-series representation in InfluxDB. The total number of generated records, the dates of collection, retained duration, and selected scenarios for the experiment must be reported after execution.</w:t>
      </w:r>
    </w:p>
    <w:p>
      <w:pPr>
        <w:widowControl/>
        <w:spacing w:after="120" w:before="60" w:line="240" w:lineRule="auto"/>
        <w:jc w:val="center"/>
      </w:pPr>
      <w:r>
        <w:rPr>
          <w:rFonts w:ascii="Times New Roman" w:hAnsi="Times New Roman" w:eastAsia="Times New Roman"/>
          <w:b w:val="0"/>
          <w:i/>
          <w:color w:val="000000"/>
          <w:sz w:val="21"/>
        </w:rPr>
        <w:t>Table 4. Dataset summary for the current Review-2 prototype.</w:t>
      </w:r>
    </w:p>
    <w:tbl>
      <w:tblPr>
        <w:tblStyle w:val="TableGrid"/>
        <w:tblW w:type="auto" w:w="0"/>
        <w:jc w:val="center"/>
        <w:tblLayout w:type="autofit"/>
        <w:tblLook w:firstColumn="1" w:firstRow="1" w:lastColumn="0" w:lastRow="0" w:noHBand="0" w:noVBand="1" w:val="04A0"/>
      </w:tblPr>
      <w:tblGrid>
        <w:gridCol w:w="5043"/>
        <w:gridCol w:w="5043"/>
      </w:tblGrid>
      <w:tr>
        <w:trPr>
          <w:tblHeader w:val="true"/>
          <w:tblHeader w:val="true"/>
        </w:trPr>
        <w:tc>
          <w:tcPr>
            <w:tcW w:type="dxa" w:w="2880"/>
            <w:vAlign w:val="center"/>
            <w:shd w:fill="D9E2F3"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center"/>
            </w:pPr>
            <w:r>
              <w:rPr>
                <w:rFonts w:ascii="Times New Roman" w:hAnsi="Times New Roman" w:eastAsia="Times New Roman"/>
                <w:b/>
                <w:color w:val="000000"/>
                <w:sz w:val="20"/>
              </w:rPr>
            </w:r>
            <w:r>
              <w:rPr>
                <w:rFonts w:ascii="Times New Roman" w:hAnsi="Times New Roman" w:eastAsia="Times New Roman"/>
                <w:b/>
                <w:i w:val="0"/>
                <w:color w:val="000000"/>
                <w:sz w:val="20"/>
              </w:rPr>
              <w:t>Attribute</w:t>
            </w:r>
          </w:p>
        </w:tc>
        <w:tc>
          <w:tcPr>
            <w:tcW w:type="dxa" w:w="6552"/>
            <w:vAlign w:val="center"/>
            <w:shd w:fill="D9E2F3"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center"/>
            </w:pPr>
            <w:r>
              <w:rPr>
                <w:rFonts w:ascii="Times New Roman" w:hAnsi="Times New Roman" w:eastAsia="Times New Roman"/>
                <w:b/>
                <w:color w:val="000000"/>
                <w:sz w:val="20"/>
              </w:rPr>
            </w:r>
            <w:r>
              <w:rPr>
                <w:rFonts w:ascii="Times New Roman" w:hAnsi="Times New Roman" w:eastAsia="Times New Roman"/>
                <w:b/>
                <w:i w:val="0"/>
                <w:color w:val="000000"/>
                <w:sz w:val="20"/>
              </w:rPr>
              <w:t>Current detail</w:t>
            </w:r>
          </w:p>
        </w:tc>
      </w:tr>
      <w:tr>
        <w:tc>
          <w:tcPr>
            <w:tcW w:type="dxa" w:w="2880"/>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Dataset name</w:t>
            </w:r>
          </w:p>
        </w:tc>
        <w:tc>
          <w:tcPr>
            <w:tcW w:type="dxa" w:w="6552"/>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Synthetic Wokwi energy-telemetry stream (prototype).</w:t>
            </w:r>
          </w:p>
        </w:tc>
      </w:tr>
      <w:tr>
        <w:tc>
          <w:tcPr>
            <w:tcW w:type="dxa" w:w="2880"/>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Source</w:t>
            </w:r>
          </w:p>
        </w:tc>
        <w:tc>
          <w:tcPr>
            <w:tcW w:type="dxa" w:w="6552"/>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Wokwi ESP32 firmware in iot-simulator/src/main.cpp.</w:t>
            </w:r>
          </w:p>
        </w:tc>
      </w:tr>
      <w:tr>
        <w:tc>
          <w:tcPr>
            <w:tcW w:type="dxa" w:w="2880"/>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Observation unit</w:t>
            </w:r>
          </w:p>
        </w:tc>
        <w:tc>
          <w:tcPr>
            <w:tcW w:type="dxa" w:w="6552"/>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One JSON telemetry event.</w:t>
            </w:r>
          </w:p>
        </w:tc>
      </w:tr>
      <w:tr>
        <w:tc>
          <w:tcPr>
            <w:tcW w:type="dxa" w:w="2880"/>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Number of records</w:t>
            </w:r>
          </w:p>
        </w:tc>
        <w:tc>
          <w:tcPr>
            <w:tcW w:type="dxa" w:w="6552"/>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[TO BE PROVIDED: total valid, invalid, and retained observations].</w:t>
            </w:r>
          </w:p>
        </w:tc>
      </w:tr>
      <w:tr>
        <w:tc>
          <w:tcPr>
            <w:tcW w:type="dxa" w:w="2880"/>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Features</w:t>
            </w:r>
          </w:p>
        </w:tc>
        <w:tc>
          <w:tcPr>
            <w:tcW w:type="dxa" w:w="6552"/>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deviceId, energyConsumed (kWh), timestamp.</w:t>
            </w:r>
          </w:p>
        </w:tc>
      </w:tr>
      <w:tr>
        <w:tc>
          <w:tcPr>
            <w:tcW w:type="dxa" w:w="2880"/>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Target variable</w:t>
            </w:r>
          </w:p>
        </w:tc>
        <w:tc>
          <w:tcPr>
            <w:tcW w:type="dxa" w:w="6552"/>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Not applicable; no supervised learning model is implemented.</w:t>
            </w:r>
          </w:p>
        </w:tc>
      </w:tr>
      <w:tr>
        <w:tc>
          <w:tcPr>
            <w:tcW w:type="dxa" w:w="2880"/>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Temporal characteristic</w:t>
            </w:r>
          </w:p>
        </w:tc>
        <w:tc>
          <w:tcPr>
            <w:tcW w:type="dxa" w:w="6552"/>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Generated approximately every 8 s; actual observation duration [TO BE PROVIDED].</w:t>
            </w:r>
          </w:p>
        </w:tc>
      </w:tr>
      <w:tr>
        <w:tc>
          <w:tcPr>
            <w:tcW w:type="dxa" w:w="2880"/>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Scenario ranges</w:t>
            </w:r>
          </w:p>
        </w:tc>
        <w:tc>
          <w:tcPr>
            <w:tcW w:type="dxa" w:w="6552"/>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Eco approximately 1-6 kWh; Heavy approximately 8-20 kWh; Alert Test approximately 26-40 kWh.</w:t>
            </w:r>
          </w:p>
        </w:tc>
      </w:tr>
      <w:tr>
        <w:tc>
          <w:tcPr>
            <w:tcW w:type="dxa" w:w="2880"/>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Format and storage</w:t>
            </w:r>
          </w:p>
        </w:tc>
        <w:tc>
          <w:tcPr>
            <w:tcW w:type="dxa" w:w="6552"/>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REST JSON -&gt; Kafka event -&gt; InfluxDB energy_usage measurement.</w:t>
            </w:r>
          </w:p>
        </w:tc>
      </w:tr>
      <w:tr>
        <w:tc>
          <w:tcPr>
            <w:tcW w:type="dxa" w:w="2880"/>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Preprocessing</w:t>
            </w:r>
          </w:p>
        </w:tc>
        <w:tc>
          <w:tcPr>
            <w:tcW w:type="dxa" w:w="6552"/>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Schema validation, event mapping, deviceId tagging, and time-window aggregation.</w:t>
            </w:r>
          </w:p>
        </w:tc>
      </w:tr>
      <w:tr>
        <w:tc>
          <w:tcPr>
            <w:tcW w:type="dxa" w:w="2880"/>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Train/test/validation split</w:t>
            </w:r>
          </w:p>
        </w:tc>
        <w:tc>
          <w:tcPr>
            <w:tcW w:type="dxa" w:w="6552"/>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Not applicable in the current deterministic prototype.</w:t>
            </w:r>
          </w:p>
        </w:tc>
      </w:tr>
      <w:tr>
        <w:tc>
          <w:tcPr>
            <w:tcW w:type="dxa" w:w="2880"/>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Ground-truth labels</w:t>
            </w:r>
          </w:p>
        </w:tc>
        <w:tc>
          <w:tcPr>
            <w:tcW w:type="dxa" w:w="6552"/>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Not available; [TO BE PROVIDED] before anomaly-detection accuracy can be evaluated.</w:t>
            </w:r>
          </w:p>
        </w:tc>
      </w:tr>
    </w:tbl>
    <w:p>
      <w:pPr>
        <w:spacing w:after="20"/>
      </w:pPr>
    </w:p>
    <w:p>
      <w:pPr>
        <w:pStyle w:val="Heading2"/>
        <w:keepNext/>
        <w:widowControl/>
        <w:spacing w:before="160" w:after="100"/>
      </w:pPr>
      <w:r>
        <w:rPr>
          <w:rFonts w:ascii="Times New Roman" w:hAnsi="Times New Roman" w:eastAsia="Times New Roman"/>
          <w:b/>
          <w:i w:val="0"/>
          <w:color w:val="000000"/>
          <w:sz w:val="24"/>
        </w:rPr>
        <w:t>4.4 Tools Technologies and Frameworks</w:t>
      </w:r>
    </w:p>
    <w:p>
      <w:pPr>
        <w:widowControl/>
        <w:spacing w:after="120" w:before="60" w:line="240" w:lineRule="auto"/>
        <w:jc w:val="center"/>
      </w:pPr>
      <w:r>
        <w:rPr>
          <w:rFonts w:ascii="Times New Roman" w:hAnsi="Times New Roman" w:eastAsia="Times New Roman"/>
          <w:b w:val="0"/>
          <w:i/>
          <w:color w:val="000000"/>
          <w:sz w:val="21"/>
        </w:rPr>
        <w:t>Table 5. Tools, technologies, and frameworks used in the current implementation.</w:t>
      </w:r>
    </w:p>
    <w:tbl>
      <w:tblPr>
        <w:tblStyle w:val="TableGrid"/>
        <w:tblW w:type="auto" w:w="0"/>
        <w:jc w:val="center"/>
        <w:tblLayout w:type="autofit"/>
        <w:tblLook w:firstColumn="1" w:firstRow="1" w:lastColumn="0" w:lastRow="0" w:noHBand="0" w:noVBand="1" w:val="04A0"/>
      </w:tblPr>
      <w:tblGrid>
        <w:gridCol w:w="3362"/>
        <w:gridCol w:w="3362"/>
        <w:gridCol w:w="3362"/>
      </w:tblGrid>
      <w:tr>
        <w:trPr>
          <w:tblHeader w:val="true"/>
          <w:tblHeader w:val="true"/>
        </w:trPr>
        <w:tc>
          <w:tcPr>
            <w:tcW w:type="dxa" w:w="1944"/>
            <w:vAlign w:val="center"/>
            <w:shd w:fill="D9E2F3"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center"/>
            </w:pPr>
            <w:r>
              <w:rPr>
                <w:rFonts w:ascii="Times New Roman" w:hAnsi="Times New Roman" w:eastAsia="Times New Roman"/>
                <w:b/>
                <w:color w:val="000000"/>
                <w:sz w:val="20"/>
              </w:rPr>
            </w:r>
            <w:r>
              <w:rPr>
                <w:rFonts w:ascii="Times New Roman" w:hAnsi="Times New Roman" w:eastAsia="Times New Roman"/>
                <w:b/>
                <w:i w:val="0"/>
                <w:color w:val="000000"/>
                <w:sz w:val="20"/>
              </w:rPr>
              <w:t>Category</w:t>
            </w:r>
          </w:p>
        </w:tc>
        <w:tc>
          <w:tcPr>
            <w:tcW w:type="dxa" w:w="3240"/>
            <w:vAlign w:val="center"/>
            <w:shd w:fill="D9E2F3"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center"/>
            </w:pPr>
            <w:r>
              <w:rPr>
                <w:rFonts w:ascii="Times New Roman" w:hAnsi="Times New Roman" w:eastAsia="Times New Roman"/>
                <w:b/>
                <w:color w:val="000000"/>
                <w:sz w:val="20"/>
              </w:rPr>
            </w:r>
            <w:r>
              <w:rPr>
                <w:rFonts w:ascii="Times New Roman" w:hAnsi="Times New Roman" w:eastAsia="Times New Roman"/>
                <w:b/>
                <w:i w:val="0"/>
                <w:color w:val="000000"/>
                <w:sz w:val="20"/>
              </w:rPr>
              <w:t>Technology or tool</w:t>
            </w:r>
          </w:p>
        </w:tc>
        <w:tc>
          <w:tcPr>
            <w:tcW w:type="dxa" w:w="4320"/>
            <w:vAlign w:val="center"/>
            <w:shd w:fill="D9E2F3"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center"/>
            </w:pPr>
            <w:r>
              <w:rPr>
                <w:rFonts w:ascii="Times New Roman" w:hAnsi="Times New Roman" w:eastAsia="Times New Roman"/>
                <w:b/>
                <w:color w:val="000000"/>
                <w:sz w:val="20"/>
              </w:rPr>
            </w:r>
            <w:r>
              <w:rPr>
                <w:rFonts w:ascii="Times New Roman" w:hAnsi="Times New Roman" w:eastAsia="Times New Roman"/>
                <w:b/>
                <w:i w:val="0"/>
                <w:color w:val="000000"/>
                <w:sz w:val="20"/>
              </w:rPr>
              <w:t>Purpose</w:t>
            </w:r>
          </w:p>
        </w:tc>
      </w:tr>
      <w:tr>
        <w:tc>
          <w:tcPr>
            <w:tcW w:type="dxa" w:w="1944"/>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Frontend</w:t>
            </w:r>
          </w:p>
        </w:tc>
        <w:tc>
          <w:tcPr>
            <w:tcW w:type="dxa" w:w="3240"/>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React, TypeScript, Vite, Tailwind CSS</w:t>
            </w:r>
          </w:p>
        </w:tc>
        <w:tc>
          <w:tcPr>
            <w:tcW w:type="dxa" w:w="4320"/>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Provides household, device, reading-simulator, insight, and alert-history views.</w:t>
            </w:r>
          </w:p>
        </w:tc>
      </w:tr>
      <w:tr>
        <w:tc>
          <w:tcPr>
            <w:tcW w:type="dxa" w:w="1944"/>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API layer</w:t>
            </w:r>
          </w:p>
        </w:tc>
        <w:tc>
          <w:tcPr>
            <w:tcW w:type="dxa" w:w="3240"/>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Spring Cloud Gateway</w:t>
            </w:r>
          </w:p>
        </w:tc>
        <w:tc>
          <w:tcPr>
            <w:tcW w:type="dxa" w:w="4320"/>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Routes /api/v1 requests to backend services.</w:t>
            </w:r>
          </w:p>
        </w:tc>
      </w:tr>
      <w:tr>
        <w:tc>
          <w:tcPr>
            <w:tcW w:type="dxa" w:w="1944"/>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Backend</w:t>
            </w:r>
          </w:p>
        </w:tc>
        <w:tc>
          <w:tcPr>
            <w:tcW w:type="dxa" w:w="3240"/>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Java, Spring Boot, Spring Web, Spring Data</w:t>
            </w:r>
          </w:p>
        </w:tc>
        <w:tc>
          <w:tcPr>
            <w:tcW w:type="dxa" w:w="4320"/>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Implements User, Device, Ingestion, Usage, Alert, and Insight services.</w:t>
            </w:r>
          </w:p>
        </w:tc>
      </w:tr>
      <w:tr>
        <w:tc>
          <w:tcPr>
            <w:tcW w:type="dxa" w:w="1944"/>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Messaging</w:t>
            </w:r>
          </w:p>
        </w:tc>
        <w:tc>
          <w:tcPr>
            <w:tcW w:type="dxa" w:w="3240"/>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Apache Kafka</w:t>
            </w:r>
          </w:p>
        </w:tc>
        <w:tc>
          <w:tcPr>
            <w:tcW w:type="dxa" w:w="4320"/>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Carries energy-usage and energy-alerts events.</w:t>
            </w:r>
          </w:p>
        </w:tc>
      </w:tr>
      <w:tr>
        <w:tc>
          <w:tcPr>
            <w:tcW w:type="dxa" w:w="1944"/>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Relational data</w:t>
            </w:r>
          </w:p>
        </w:tc>
        <w:tc>
          <w:tcPr>
            <w:tcW w:type="dxa" w:w="3240"/>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MySQL 8.3.0</w:t>
            </w:r>
          </w:p>
        </w:tc>
        <w:tc>
          <w:tcPr>
            <w:tcW w:type="dxa" w:w="4320"/>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Stores user, device, and alert metadata.</w:t>
            </w:r>
          </w:p>
        </w:tc>
      </w:tr>
      <w:tr>
        <w:tc>
          <w:tcPr>
            <w:tcW w:type="dxa" w:w="1944"/>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Time-series data</w:t>
            </w:r>
          </w:p>
        </w:tc>
        <w:tc>
          <w:tcPr>
            <w:tcW w:type="dxa" w:w="3240"/>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InfluxDB 2.7 and Flux query language</w:t>
            </w:r>
          </w:p>
        </w:tc>
        <w:tc>
          <w:tcPr>
            <w:tcW w:type="dxa" w:w="4320"/>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Stores and aggregates energy_usage points.</w:t>
            </w:r>
          </w:p>
        </w:tc>
      </w:tr>
      <w:tr>
        <w:tc>
          <w:tcPr>
            <w:tcW w:type="dxa" w:w="1944"/>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IoT simulation</w:t>
            </w:r>
          </w:p>
        </w:tc>
        <w:tc>
          <w:tcPr>
            <w:tcW w:type="dxa" w:w="3240"/>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ESP32 Arduino firmware, PlatformIO, Wokwi</w:t>
            </w:r>
          </w:p>
        </w:tc>
        <w:tc>
          <w:tcPr>
            <w:tcW w:type="dxa" w:w="4320"/>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Generates controllable telemetry and displays request status.</w:t>
            </w:r>
          </w:p>
        </w:tc>
      </w:tr>
      <w:tr>
        <w:tc>
          <w:tcPr>
            <w:tcW w:type="dxa" w:w="1944"/>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Recommendation wording</w:t>
            </w:r>
          </w:p>
        </w:tc>
        <w:tc>
          <w:tcPr>
            <w:tcW w:type="dxa" w:w="3240"/>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Spring AI with optional Ollama model</w:t>
            </w:r>
          </w:p>
        </w:tc>
        <w:tc>
          <w:tcPr>
            <w:tcW w:type="dxa" w:w="4320"/>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Generates optional narrative tips; deterministic fallback preserves core behavior.</w:t>
            </w:r>
          </w:p>
        </w:tc>
      </w:tr>
      <w:tr>
        <w:tc>
          <w:tcPr>
            <w:tcW w:type="dxa" w:w="1944"/>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Notification test surface</w:t>
            </w:r>
          </w:p>
        </w:tc>
        <w:tc>
          <w:tcPr>
            <w:tcW w:type="dxa" w:w="3240"/>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Mailpit</w:t>
            </w:r>
          </w:p>
        </w:tc>
        <w:tc>
          <w:tcPr>
            <w:tcW w:type="dxa" w:w="4320"/>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Captures SMTP alert messages locally.</w:t>
            </w:r>
          </w:p>
        </w:tc>
      </w:tr>
      <w:tr>
        <w:tc>
          <w:tcPr>
            <w:tcW w:type="dxa" w:w="1944"/>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Containerization</w:t>
            </w:r>
          </w:p>
        </w:tc>
        <w:tc>
          <w:tcPr>
            <w:tcW w:type="dxa" w:w="3240"/>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Docker and Docker Compose</w:t>
            </w:r>
          </w:p>
        </w:tc>
        <w:tc>
          <w:tcPr>
            <w:tcW w:type="dxa" w:w="4320"/>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Runs the local service topology.</w:t>
            </w:r>
          </w:p>
        </w:tc>
      </w:tr>
    </w:tbl>
    <w:p>
      <w:pPr>
        <w:spacing w:after="20"/>
      </w:pPr>
    </w:p>
    <w:p>
      <w:pPr>
        <w:pStyle w:val="Heading2"/>
        <w:keepNext/>
        <w:widowControl/>
        <w:spacing w:before="160" w:after="100"/>
      </w:pPr>
      <w:r>
        <w:rPr>
          <w:rFonts w:ascii="Times New Roman" w:hAnsi="Times New Roman" w:eastAsia="Times New Roman"/>
          <w:b/>
          <w:i w:val="0"/>
          <w:color w:val="000000"/>
          <w:sz w:val="24"/>
        </w:rPr>
        <w:t>4.5 Implementation Procedure</w:t>
      </w:r>
    </w:p>
    <w:p>
      <w:pPr>
        <w:pStyle w:val="ListNumber"/>
        <w:widowControl/>
        <w:spacing w:after="60" w:line="264" w:lineRule="auto"/>
      </w:pPr>
      <w:r>
        <w:rPr>
          <w:rFonts w:ascii="Times New Roman" w:hAnsi="Times New Roman" w:eastAsia="Times New Roman"/>
          <w:b w:val="0"/>
          <w:i w:val="0"/>
          <w:color w:val="000000"/>
          <w:sz w:val="22"/>
        </w:rPr>
        <w:t>Configure the local Docker environment with MySQL, Kafka, InfluxDB, Mailpit, the six application services, API Gateway, and the frontend. Record the exact Docker and host-machine versions in the final experiment log.</w:t>
      </w:r>
    </w:p>
    <w:p>
      <w:pPr>
        <w:pStyle w:val="ListNumber"/>
        <w:widowControl/>
        <w:spacing w:after="60" w:line="264" w:lineRule="auto"/>
      </w:pPr>
      <w:r>
        <w:rPr>
          <w:rFonts w:ascii="Times New Roman" w:hAnsi="Times New Roman" w:eastAsia="Times New Roman"/>
          <w:b w:val="0"/>
          <w:i w:val="0"/>
          <w:color w:val="000000"/>
          <w:sz w:val="22"/>
        </w:rPr>
        <w:t>Create a household profile and register an appliance through the web dashboard or the corresponding gateway API. The resulting device identifier is used to associate telemetry with a household.</w:t>
      </w:r>
    </w:p>
    <w:p>
      <w:pPr>
        <w:pStyle w:val="ListNumber"/>
        <w:widowControl/>
        <w:spacing w:after="60" w:line="264" w:lineRule="auto"/>
      </w:pPr>
      <w:r>
        <w:rPr>
          <w:rFonts w:ascii="Times New Roman" w:hAnsi="Times New Roman" w:eastAsia="Times New Roman"/>
          <w:b w:val="0"/>
          <w:i w:val="0"/>
          <w:color w:val="000000"/>
          <w:sz w:val="22"/>
        </w:rPr>
        <w:t>Configure the local Wokwi simulator with the assigned device identifier and the local gateway route host.wokwi.internal:8080/api/v1/ingestion. Build the ESP32 firmware with PlatformIO.</w:t>
      </w:r>
    </w:p>
    <w:p>
      <w:pPr>
        <w:pStyle w:val="ListNumber"/>
        <w:widowControl/>
        <w:spacing w:after="60" w:line="264" w:lineRule="auto"/>
      </w:pPr>
      <w:r>
        <w:rPr>
          <w:rFonts w:ascii="Times New Roman" w:hAnsi="Times New Roman" w:eastAsia="Times New Roman"/>
          <w:b w:val="0"/>
          <w:i w:val="0"/>
          <w:color w:val="000000"/>
          <w:sz w:val="22"/>
        </w:rPr>
        <w:t>Generate controlled telemetry by selecting Eco, Heavy, or Alert Test mode. Capture the emitted JSON payload and HTTP status. A successful request returns HTTP 201 from the ingestion endpoint.</w:t>
      </w:r>
    </w:p>
    <w:p>
      <w:pPr>
        <w:pStyle w:val="ListNumber"/>
        <w:widowControl/>
        <w:spacing w:after="60" w:line="264" w:lineRule="auto"/>
      </w:pPr>
      <w:r>
        <w:rPr>
          <w:rFonts w:ascii="Times New Roman" w:hAnsi="Times New Roman" w:eastAsia="Times New Roman"/>
          <w:b w:val="0"/>
          <w:i w:val="0"/>
          <w:color w:val="000000"/>
          <w:sz w:val="22"/>
        </w:rPr>
        <w:t>Validate the pipeline by observing an energy-usage event in Kafka and querying the resulting usage through the Gateway. The Usage Service stores a time-stamped InfluxDB point and aggregates device totals for requested time windows.</w:t>
      </w:r>
    </w:p>
    <w:p>
      <w:pPr>
        <w:pStyle w:val="ListNumber"/>
        <w:widowControl/>
        <w:spacing w:after="60" w:line="264" w:lineRule="auto"/>
      </w:pPr>
      <w:r>
        <w:rPr>
          <w:rFonts w:ascii="Times New Roman" w:hAnsi="Times New Roman" w:eastAsia="Times New Roman"/>
          <w:b w:val="0"/>
          <w:i w:val="0"/>
          <w:color w:val="000000"/>
          <w:sz w:val="22"/>
        </w:rPr>
        <w:t>Retrieve bill forecast, appliance ranking, and standby-detective outputs through the Insight Service. Record the selected days parameter, tariff configuration, input window, and returned numerical values for later reproducibility.</w:t>
      </w:r>
    </w:p>
    <w:p>
      <w:pPr>
        <w:pStyle w:val="ListNumber"/>
        <w:widowControl/>
        <w:spacing w:after="60" w:line="264" w:lineRule="auto"/>
      </w:pPr>
      <w:r>
        <w:rPr>
          <w:rFonts w:ascii="Times New Roman" w:hAnsi="Times New Roman" w:eastAsia="Times New Roman"/>
          <w:b w:val="0"/>
          <w:i w:val="0"/>
          <w:color w:val="000000"/>
          <w:sz w:val="22"/>
        </w:rPr>
        <w:t>For an alert scenario, use an isolated household with alerting enabled and a documented threshold. Submit one Alert Test reading, wait for the scheduled one-hour aggregation, then verify the alert record and Mailpit email. Disable alerting after evidence capture to prevent repeated alerts under the current non-deduplicated rule.</w:t>
      </w:r>
    </w:p>
    <w:p>
      <w:pPr>
        <w:pStyle w:val="ListNumber"/>
        <w:widowControl/>
        <w:spacing w:after="60" w:line="264" w:lineRule="auto"/>
      </w:pPr>
      <w:r>
        <w:rPr>
          <w:rFonts w:ascii="Times New Roman" w:hAnsi="Times New Roman" w:eastAsia="Times New Roman"/>
          <w:b w:val="0"/>
          <w:i w:val="0"/>
          <w:color w:val="000000"/>
          <w:sz w:val="22"/>
        </w:rPr>
        <w:t>Execute the evaluation protocol in Section 4.6 and populate the result tables in Section 5 using retained timestamps, event counts, query results, and screenshots. Do not substitute visual dashboard fallback data for backend evidence.</w:t>
      </w:r>
    </w:p>
    <w:p>
      <w:pPr>
        <w:pStyle w:val="Heading2"/>
        <w:keepNext/>
        <w:widowControl/>
        <w:spacing w:before="160" w:after="100"/>
      </w:pPr>
      <w:r>
        <w:rPr>
          <w:rFonts w:ascii="Times New Roman" w:hAnsi="Times New Roman" w:eastAsia="Times New Roman"/>
          <w:b/>
          <w:i w:val="0"/>
          <w:color w:val="000000"/>
          <w:sz w:val="24"/>
        </w:rPr>
        <w:t>4.6 Experimental Setup</w:t>
      </w:r>
    </w:p>
    <w:p>
      <w:pPr>
        <w:widowControl/>
        <w:spacing w:after="100" w:before="0" w:line="276" w:lineRule="auto"/>
        <w:ind w:firstLine="0"/>
        <w:jc w:val="both"/>
      </w:pPr>
      <w:r>
        <w:rPr>
          <w:rFonts w:ascii="Times New Roman" w:hAnsi="Times New Roman" w:eastAsia="Times New Roman"/>
          <w:b w:val="0"/>
          <w:i w:val="0"/>
          <w:color w:val="000000"/>
          <w:sz w:val="22"/>
        </w:rPr>
        <w:t>The experimental setup is a local, containerized integration environment. It is intended to assess whether a controlled telemetry event can traverse the implemented pipeline and produce retrievable analytics and an alert when the threshold rule is satisfied. The setup is not a field deployment, hardware-calibration study, or comparative machine-learning experiment.</w:t>
      </w:r>
    </w:p>
    <w:p>
      <w:pPr>
        <w:widowControl/>
        <w:spacing w:after="120" w:before="60" w:line="240" w:lineRule="auto"/>
        <w:jc w:val="center"/>
      </w:pPr>
      <w:r>
        <w:rPr>
          <w:rFonts w:ascii="Times New Roman" w:hAnsi="Times New Roman" w:eastAsia="Times New Roman"/>
          <w:b w:val="0"/>
          <w:i/>
          <w:color w:val="000000"/>
          <w:sz w:val="21"/>
        </w:rPr>
        <w:t>Table 6. Experimental configuration for the current prototype.</w:t>
      </w:r>
    </w:p>
    <w:tbl>
      <w:tblPr>
        <w:tblStyle w:val="TableGrid"/>
        <w:tblW w:type="auto" w:w="0"/>
        <w:jc w:val="center"/>
        <w:tblLayout w:type="autofit"/>
        <w:tblLook w:firstColumn="1" w:firstRow="1" w:lastColumn="0" w:lastRow="0" w:noHBand="0" w:noVBand="1" w:val="04A0"/>
      </w:tblPr>
      <w:tblGrid>
        <w:gridCol w:w="3362"/>
        <w:gridCol w:w="3362"/>
        <w:gridCol w:w="3362"/>
      </w:tblGrid>
      <w:tr>
        <w:trPr>
          <w:tblHeader w:val="true"/>
          <w:tblHeader w:val="true"/>
        </w:trPr>
        <w:tc>
          <w:tcPr>
            <w:tcW w:type="dxa" w:w="2376"/>
            <w:vAlign w:val="center"/>
            <w:shd w:fill="D9E2F3"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center"/>
            </w:pPr>
            <w:r>
              <w:rPr>
                <w:rFonts w:ascii="Times New Roman" w:hAnsi="Times New Roman" w:eastAsia="Times New Roman"/>
                <w:b/>
                <w:color w:val="000000"/>
                <w:sz w:val="20"/>
              </w:rPr>
            </w:r>
            <w:r>
              <w:rPr>
                <w:rFonts w:ascii="Times New Roman" w:hAnsi="Times New Roman" w:eastAsia="Times New Roman"/>
                <w:b/>
                <w:i w:val="0"/>
                <w:color w:val="000000"/>
                <w:sz w:val="20"/>
              </w:rPr>
              <w:t>Configuration item</w:t>
            </w:r>
          </w:p>
        </w:tc>
        <w:tc>
          <w:tcPr>
            <w:tcW w:type="dxa" w:w="3384"/>
            <w:vAlign w:val="center"/>
            <w:shd w:fill="D9E2F3"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center"/>
            </w:pPr>
            <w:r>
              <w:rPr>
                <w:rFonts w:ascii="Times New Roman" w:hAnsi="Times New Roman" w:eastAsia="Times New Roman"/>
                <w:b/>
                <w:color w:val="000000"/>
                <w:sz w:val="20"/>
              </w:rPr>
            </w:r>
            <w:r>
              <w:rPr>
                <w:rFonts w:ascii="Times New Roman" w:hAnsi="Times New Roman" w:eastAsia="Times New Roman"/>
                <w:b/>
                <w:i w:val="0"/>
                <w:color w:val="000000"/>
                <w:sz w:val="20"/>
              </w:rPr>
              <w:t>Current configuration</w:t>
            </w:r>
          </w:p>
        </w:tc>
        <w:tc>
          <w:tcPr>
            <w:tcW w:type="dxa" w:w="3744"/>
            <w:vAlign w:val="center"/>
            <w:shd w:fill="D9E2F3"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center"/>
            </w:pPr>
            <w:r>
              <w:rPr>
                <w:rFonts w:ascii="Times New Roman" w:hAnsi="Times New Roman" w:eastAsia="Times New Roman"/>
                <w:b/>
                <w:color w:val="000000"/>
                <w:sz w:val="20"/>
              </w:rPr>
            </w:r>
            <w:r>
              <w:rPr>
                <w:rFonts w:ascii="Times New Roman" w:hAnsi="Times New Roman" w:eastAsia="Times New Roman"/>
                <w:b/>
                <w:i w:val="0"/>
                <w:color w:val="000000"/>
                <w:sz w:val="20"/>
              </w:rPr>
              <w:t>Reporting requirement</w:t>
            </w:r>
          </w:p>
        </w:tc>
      </w:tr>
      <w:tr>
        <w:tc>
          <w:tcPr>
            <w:tcW w:type="dxa" w:w="2376"/>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Computing environment</w:t>
            </w:r>
          </w:p>
        </w:tc>
        <w:tc>
          <w:tcPr>
            <w:tcW w:type="dxa" w:w="3384"/>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Local Docker-based environment</w:t>
            </w:r>
          </w:p>
        </w:tc>
        <w:tc>
          <w:tcPr>
            <w:tcW w:type="dxa" w:w="3744"/>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[TO BE PROVIDED: CPU, RAM, OS, Docker version].</w:t>
            </w:r>
          </w:p>
        </w:tc>
      </w:tr>
      <w:tr>
        <w:tc>
          <w:tcPr>
            <w:tcW w:type="dxa" w:w="2376"/>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Telemetry source</w:t>
            </w:r>
          </w:p>
        </w:tc>
        <w:tc>
          <w:tcPr>
            <w:tcW w:type="dxa" w:w="3384"/>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Wokwi ESP32 virtual meter</w:t>
            </w:r>
          </w:p>
        </w:tc>
        <w:tc>
          <w:tcPr>
            <w:tcW w:type="dxa" w:w="3744"/>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Report number of runs, duration, modes, and selected potentiometer settings.</w:t>
            </w:r>
          </w:p>
        </w:tc>
      </w:tr>
      <w:tr>
        <w:tc>
          <w:tcPr>
            <w:tcW w:type="dxa" w:w="2376"/>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Ingress interval</w:t>
            </w:r>
          </w:p>
        </w:tc>
        <w:tc>
          <w:tcPr>
            <w:tcW w:type="dxa" w:w="3384"/>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8 s in firmware</w:t>
            </w:r>
          </w:p>
        </w:tc>
        <w:tc>
          <w:tcPr>
            <w:tcW w:type="dxa" w:w="3744"/>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Confirm actual interval observed during each run.</w:t>
            </w:r>
          </w:p>
        </w:tc>
      </w:tr>
      <w:tr>
        <w:tc>
          <w:tcPr>
            <w:tcW w:type="dxa" w:w="2376"/>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Observation window for insights</w:t>
            </w:r>
          </w:p>
        </w:tc>
        <w:tc>
          <w:tcPr>
            <w:tcW w:type="dxa" w:w="3384"/>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API default 3 days unless days parameter is supplied</w:t>
            </w:r>
          </w:p>
        </w:tc>
        <w:tc>
          <w:tcPr>
            <w:tcW w:type="dxa" w:w="3744"/>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Record selected D for each result.</w:t>
            </w:r>
          </w:p>
        </w:tc>
      </w:tr>
      <w:tr>
        <w:tc>
          <w:tcPr>
            <w:tcW w:type="dxa" w:w="2376"/>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Alert aggregation window</w:t>
            </w:r>
          </w:p>
        </w:tc>
        <w:tc>
          <w:tcPr>
            <w:tcW w:type="dxa" w:w="3384"/>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Preceding 1 hour</w:t>
            </w:r>
          </w:p>
        </w:tc>
        <w:tc>
          <w:tcPr>
            <w:tcW w:type="dxa" w:w="3744"/>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Record threshold and exact reading time.</w:t>
            </w:r>
          </w:p>
        </w:tc>
      </w:tr>
      <w:tr>
        <w:tc>
          <w:tcPr>
            <w:tcW w:type="dxa" w:w="2376"/>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Alert scheduler</w:t>
            </w:r>
          </w:p>
        </w:tc>
        <w:tc>
          <w:tcPr>
            <w:tcW w:type="dxa" w:w="3384"/>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Every 10 s</w:t>
            </w:r>
          </w:p>
        </w:tc>
        <w:tc>
          <w:tcPr>
            <w:tcW w:type="dxa" w:w="3744"/>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Record alert latency and duplicate-event behavior.</w:t>
            </w:r>
          </w:p>
        </w:tc>
      </w:tr>
      <w:tr>
        <w:tc>
          <w:tcPr>
            <w:tcW w:type="dxa" w:w="2376"/>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Forecast horizon</w:t>
            </w:r>
          </w:p>
        </w:tc>
        <w:tc>
          <w:tcPr>
            <w:tcW w:type="dxa" w:w="3384"/>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30 days</w:t>
            </w:r>
          </w:p>
        </w:tc>
        <w:tc>
          <w:tcPr>
            <w:tcW w:type="dxa" w:w="3744"/>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Use the configured tariff values and report their source.</w:t>
            </w:r>
          </w:p>
        </w:tc>
      </w:tr>
      <w:tr>
        <w:tc>
          <w:tcPr>
            <w:tcW w:type="dxa" w:w="2376"/>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Standby coefficient</w:t>
            </w:r>
          </w:p>
        </w:tc>
        <w:tc>
          <w:tcPr>
            <w:tcW w:type="dxa" w:w="3384"/>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20% of average load</w:t>
            </w:r>
          </w:p>
        </w:tc>
        <w:tc>
          <w:tcPr>
            <w:tcW w:type="dxa" w:w="3744"/>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State that this is a heuristic, not ground truth.</w:t>
            </w:r>
          </w:p>
        </w:tc>
      </w:tr>
      <w:tr>
        <w:tc>
          <w:tcPr>
            <w:tcW w:type="dxa" w:w="2376"/>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Standby risk thresholds</w:t>
            </w:r>
          </w:p>
        </w:tc>
        <w:tc>
          <w:tcPr>
            <w:tcW w:type="dxa" w:w="3384"/>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LOW &lt;= 50 W; MEDIUM &gt; 50 W and &lt;= 150 W; HIGH &gt; 150 W</w:t>
            </w:r>
          </w:p>
        </w:tc>
        <w:tc>
          <w:tcPr>
            <w:tcW w:type="dxa" w:w="3744"/>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Retain these thresholds during reproducibility runs.</w:t>
            </w:r>
          </w:p>
        </w:tc>
      </w:tr>
      <w:tr>
        <w:tc>
          <w:tcPr>
            <w:tcW w:type="dxa" w:w="2376"/>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Baseline methods</w:t>
            </w:r>
          </w:p>
        </w:tc>
        <w:tc>
          <w:tcPr>
            <w:tcW w:type="dxa" w:w="3384"/>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No implemented empirical baseline</w:t>
            </w:r>
          </w:p>
        </w:tc>
        <w:tc>
          <w:tcPr>
            <w:tcW w:type="dxa" w:w="3744"/>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[TO BE PROVIDED: choose baseline before comparative claims].</w:t>
            </w:r>
          </w:p>
        </w:tc>
      </w:tr>
      <w:tr>
        <w:tc>
          <w:tcPr>
            <w:tcW w:type="dxa" w:w="2376"/>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Evaluation evidence</w:t>
            </w:r>
          </w:p>
        </w:tc>
        <w:tc>
          <w:tcPr>
            <w:tcW w:type="dxa" w:w="3384"/>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HTTP status, Kafka record, InfluxDB/usage query, insight response, alert history, Mailpit email</w:t>
            </w:r>
          </w:p>
        </w:tc>
        <w:tc>
          <w:tcPr>
            <w:tcW w:type="dxa" w:w="3744"/>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Attach timestamps and screenshots to final result set.</w:t>
            </w:r>
          </w:p>
        </w:tc>
      </w:tr>
    </w:tbl>
    <w:p>
      <w:pPr>
        <w:spacing w:after="20"/>
      </w:pPr>
    </w:p>
    <w:p>
      <w:pPr>
        <w:pStyle w:val="Heading1"/>
        <w:keepNext/>
        <w:widowControl/>
        <w:spacing w:before="220" w:after="100"/>
      </w:pPr>
      <w:r>
        <w:rPr>
          <w:rFonts w:ascii="Times New Roman" w:hAnsi="Times New Roman" w:eastAsia="Times New Roman"/>
          <w:b/>
          <w:i w:val="0"/>
          <w:color w:val="000000"/>
          <w:sz w:val="28"/>
        </w:rPr>
        <w:t>5. RESULTS AND DISCUSSION</w:t>
      </w:r>
    </w:p>
    <w:p>
      <w:pPr>
        <w:pStyle w:val="Heading2"/>
        <w:keepNext/>
        <w:widowControl/>
        <w:spacing w:before="160" w:after="100"/>
      </w:pPr>
      <w:r>
        <w:rPr>
          <w:rFonts w:ascii="Times New Roman" w:hAnsi="Times New Roman" w:eastAsia="Times New Roman"/>
          <w:b/>
          <w:i w:val="0"/>
          <w:color w:val="000000"/>
          <w:sz w:val="24"/>
        </w:rPr>
        <w:t>5.1 Experimental Results</w:t>
      </w:r>
    </w:p>
    <w:p>
      <w:pPr>
        <w:widowControl/>
        <w:spacing w:after="100" w:before="0" w:line="276" w:lineRule="auto"/>
        <w:ind w:firstLine="0"/>
        <w:jc w:val="both"/>
      </w:pPr>
      <w:r>
        <w:rPr>
          <w:rFonts w:ascii="Times New Roman" w:hAnsi="Times New Roman" w:eastAsia="Times New Roman"/>
          <w:b w:val="0"/>
          <w:i w:val="0"/>
          <w:color w:val="000000"/>
          <w:sz w:val="22"/>
        </w:rPr>
        <w:t>Two evidence streams were obtained for the current prototype. First, Maven tests were run locally for the six stateful/analytical services. Second, a controlled local end-to-end run was executed on 30 September 2026 after the Docker Compose stack was healthy. The run used a fresh test user and device, three synthetic inputs (0.25, 0.50, and 0.75 kWh), and a three-day query window. The inputs passed through the same REST ingestion endpoint used by the Wokwi ESP32 simulator; they are synthetic test increments, not calibrated physical-meter measurements.</w:t>
      </w:r>
    </w:p>
    <w:p>
      <w:pPr>
        <w:widowControl/>
        <w:spacing w:after="100" w:before="0" w:line="276" w:lineRule="auto"/>
        <w:ind w:firstLine="0"/>
        <w:jc w:val="both"/>
      </w:pPr>
      <w:r>
        <w:rPr>
          <w:rFonts w:ascii="Times New Roman" w:hAnsi="Times New Roman" w:eastAsia="Times New Roman"/>
          <w:b w:val="0"/>
          <w:i w:val="0"/>
          <w:color w:val="000000"/>
          <w:sz w:val="22"/>
        </w:rPr>
        <w:t>The controlled run identifier was review2-20260930-215503-375c1ea3. Its raw machine-readable evidence is retained in research-output/evidence/review2_e2e_results_20260930-215503.json. Results below are functional observations for one isolated test case. They establish that the implemented path executed correctly under this configuration; they do not establish general latency, accuracy, scalability, fault tolerance, or household-energy savings.</w:t>
      </w:r>
    </w:p>
    <w:p>
      <w:pPr>
        <w:widowControl/>
        <w:spacing w:after="120" w:before="60" w:line="240" w:lineRule="auto"/>
        <w:jc w:val="center"/>
      </w:pPr>
      <w:r>
        <w:rPr>
          <w:rFonts w:ascii="Times New Roman" w:hAnsi="Times New Roman" w:eastAsia="Times New Roman"/>
          <w:b w:val="0"/>
          <w:i/>
          <w:color w:val="000000"/>
          <w:sz w:val="21"/>
        </w:rPr>
        <w:t>Table 7. Verified automated and controlled end-to-end results.</w:t>
      </w:r>
    </w:p>
    <w:tbl>
      <w:tblPr>
        <w:tblStyle w:val="TableGrid"/>
        <w:tblW w:type="auto" w:w="0"/>
        <w:jc w:val="center"/>
        <w:tblLayout w:type="autofit"/>
        <w:tblLook w:firstColumn="1" w:firstRow="1" w:lastColumn="0" w:lastRow="0" w:noHBand="0" w:noVBand="1" w:val="04A0"/>
      </w:tblPr>
      <w:tblGrid>
        <w:gridCol w:w="2521"/>
        <w:gridCol w:w="2521"/>
        <w:gridCol w:w="2521"/>
        <w:gridCol w:w="2521"/>
      </w:tblGrid>
      <w:tr>
        <w:trPr>
          <w:tblHeader w:val="true"/>
          <w:tblHeader w:val="true"/>
        </w:trPr>
        <w:tc>
          <w:tcPr>
            <w:tcW w:type="dxa" w:w="1944"/>
            <w:vAlign w:val="center"/>
            <w:shd w:fill="D9E2F3"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center"/>
            </w:pPr>
            <w:r>
              <w:rPr>
                <w:rFonts w:ascii="Times New Roman" w:hAnsi="Times New Roman" w:eastAsia="Times New Roman"/>
                <w:b/>
                <w:color w:val="000000"/>
                <w:sz w:val="20"/>
              </w:rPr>
            </w:r>
            <w:r>
              <w:rPr>
                <w:rFonts w:ascii="Times New Roman" w:hAnsi="Times New Roman" w:eastAsia="Times New Roman"/>
                <w:b/>
                <w:i w:val="0"/>
                <w:color w:val="000000"/>
                <w:sz w:val="20"/>
              </w:rPr>
              <w:t>Evidence category</w:t>
            </w:r>
          </w:p>
        </w:tc>
        <w:tc>
          <w:tcPr>
            <w:tcW w:type="dxa" w:w="2664"/>
            <w:vAlign w:val="center"/>
            <w:shd w:fill="D9E2F3"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center"/>
            </w:pPr>
            <w:r>
              <w:rPr>
                <w:rFonts w:ascii="Times New Roman" w:hAnsi="Times New Roman" w:eastAsia="Times New Roman"/>
                <w:b/>
                <w:color w:val="000000"/>
                <w:sz w:val="20"/>
              </w:rPr>
            </w:r>
            <w:r>
              <w:rPr>
                <w:rFonts w:ascii="Times New Roman" w:hAnsi="Times New Roman" w:eastAsia="Times New Roman"/>
                <w:b/>
                <w:i w:val="0"/>
                <w:color w:val="000000"/>
                <w:sz w:val="20"/>
              </w:rPr>
              <w:t>Input or test condition</w:t>
            </w:r>
          </w:p>
        </w:tc>
        <w:tc>
          <w:tcPr>
            <w:tcW w:type="dxa" w:w="3312"/>
            <w:vAlign w:val="center"/>
            <w:shd w:fill="D9E2F3"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center"/>
            </w:pPr>
            <w:r>
              <w:rPr>
                <w:rFonts w:ascii="Times New Roman" w:hAnsi="Times New Roman" w:eastAsia="Times New Roman"/>
                <w:b/>
                <w:color w:val="000000"/>
                <w:sz w:val="20"/>
              </w:rPr>
            </w:r>
            <w:r>
              <w:rPr>
                <w:rFonts w:ascii="Times New Roman" w:hAnsi="Times New Roman" w:eastAsia="Times New Roman"/>
                <w:b/>
                <w:i w:val="0"/>
                <w:color w:val="000000"/>
                <w:sz w:val="20"/>
              </w:rPr>
              <w:t>Observed result</w:t>
            </w:r>
          </w:p>
        </w:tc>
        <w:tc>
          <w:tcPr>
            <w:tcW w:type="dxa" w:w="1584"/>
            <w:vAlign w:val="center"/>
            <w:shd w:fill="D9E2F3"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center"/>
            </w:pPr>
            <w:r>
              <w:rPr>
                <w:rFonts w:ascii="Times New Roman" w:hAnsi="Times New Roman" w:eastAsia="Times New Roman"/>
                <w:b/>
                <w:color w:val="000000"/>
                <w:sz w:val="20"/>
              </w:rPr>
            </w:r>
            <w:r>
              <w:rPr>
                <w:rFonts w:ascii="Times New Roman" w:hAnsi="Times New Roman" w:eastAsia="Times New Roman"/>
                <w:b/>
                <w:i w:val="0"/>
                <w:color w:val="000000"/>
                <w:sz w:val="20"/>
              </w:rPr>
              <w:t>Status</w:t>
            </w:r>
          </w:p>
        </w:tc>
      </w:tr>
      <w:tr>
        <w:tc>
          <w:tcPr>
            <w:tcW w:type="dxa" w:w="1944"/>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Automated test suite</w:t>
            </w:r>
          </w:p>
        </w:tc>
        <w:tc>
          <w:tcPr>
            <w:tcW w:type="dxa" w:w="2664"/>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19 tests discovered across user, device, ingestion, usage, alert, and insight services; 3 marked skipped.</w:t>
            </w:r>
          </w:p>
        </w:tc>
        <w:tc>
          <w:tcPr>
            <w:tcW w:type="dxa" w:w="3312"/>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16 executed tests completed with zero failures and zero errors. The insight suite included 7 bill-calculation and 4 insight-service tests.</w:t>
            </w:r>
          </w:p>
        </w:tc>
        <w:tc>
          <w:tcPr>
            <w:tcW w:type="dxa" w:w="1584"/>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Verified unit test.</w:t>
            </w:r>
          </w:p>
        </w:tc>
      </w:tr>
      <w:tr>
        <w:tc>
          <w:tcPr>
            <w:tcW w:type="dxa" w:w="1944"/>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Gateway health</w:t>
            </w:r>
          </w:p>
        </w:tc>
        <w:tc>
          <w:tcPr>
            <w:tcW w:type="dxa" w:w="2664"/>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GET /actuator/health through the API Gateway.</w:t>
            </w:r>
          </w:p>
        </w:tc>
        <w:tc>
          <w:tcPr>
            <w:tcW w:type="dxa" w:w="3312"/>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Overall gateway status was UP.</w:t>
            </w:r>
          </w:p>
        </w:tc>
        <w:tc>
          <w:tcPr>
            <w:tcW w:type="dxa" w:w="1584"/>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Verified runtime.</w:t>
            </w:r>
          </w:p>
        </w:tc>
      </w:tr>
      <w:tr>
        <w:tc>
          <w:tcPr>
            <w:tcW w:type="dxa" w:w="1944"/>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Telemetry acceptance</w:t>
            </w:r>
          </w:p>
        </w:tc>
        <w:tc>
          <w:tcPr>
            <w:tcW w:type="dxa" w:w="2664"/>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Device 305; 0.25, 0.50, and 0.75 kWh with ISO-8601 timestamps.</w:t>
            </w:r>
          </w:p>
        </w:tc>
        <w:tc>
          <w:tcPr>
            <w:tcW w:type="dxa" w:w="3312"/>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All three POST /ingestion requests returned HTTP 201 (3/3 accepted).</w:t>
            </w:r>
          </w:p>
        </w:tc>
        <w:tc>
          <w:tcPr>
            <w:tcW w:type="dxa" w:w="1584"/>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Verified runtime.</w:t>
            </w:r>
          </w:p>
        </w:tc>
      </w:tr>
      <w:tr>
        <w:tc>
          <w:tcPr>
            <w:tcW w:type="dxa" w:w="1944"/>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Kafka-to-Influx persistence</w:t>
            </w:r>
          </w:p>
        </w:tc>
        <w:tc>
          <w:tcPr>
            <w:tcW w:type="dxa" w:w="2664"/>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Accepted test events for device 305.</w:t>
            </w:r>
          </w:p>
        </w:tc>
        <w:tc>
          <w:tcPr>
            <w:tcW w:type="dxa" w:w="3312"/>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InfluxDB returned three energy_usage points: 0.25, 0.50, and 0.75 kWh. Usage API returned 1.50 kWh for the isolated device.</w:t>
            </w:r>
          </w:p>
        </w:tc>
        <w:tc>
          <w:tcPr>
            <w:tcW w:type="dxa" w:w="1584"/>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Verified runtime.</w:t>
            </w:r>
          </w:p>
        </w:tc>
      </w:tr>
      <w:tr>
        <w:tc>
          <w:tcPr>
            <w:tcW w:type="dxa" w:w="1944"/>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Bill forecast</w:t>
            </w:r>
          </w:p>
        </w:tc>
        <w:tc>
          <w:tcPr>
            <w:tcW w:type="dxa" w:w="2664"/>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User 6; D = 3 days; total 1.50 kWh.</w:t>
            </w:r>
          </w:p>
        </w:tc>
        <w:tc>
          <w:tcPr>
            <w:tcW w:type="dxa" w:w="3312"/>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Current cost $0.18; daily rate 0.50 kWh/day; projected monthly use 15.00 kWh; projected monthly cost $11.80.</w:t>
            </w:r>
          </w:p>
        </w:tc>
        <w:tc>
          <w:tcPr>
            <w:tcW w:type="dxa" w:w="1584"/>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Verified runtime; matches formula.</w:t>
            </w:r>
          </w:p>
        </w:tc>
      </w:tr>
      <w:tr>
        <w:tc>
          <w:tcPr>
            <w:tcW w:type="dxa" w:w="1944"/>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Appliance ranking</w:t>
            </w:r>
          </w:p>
        </w:tc>
        <w:tc>
          <w:tcPr>
            <w:tcW w:type="dxa" w:w="2664"/>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One isolated device with 1.50 kWh.</w:t>
            </w:r>
          </w:p>
        </w:tc>
        <w:tc>
          <w:tcPr>
            <w:tcW w:type="dxa" w:w="3312"/>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Device ranked first with 100.00% of total usage and estimated cost $0.18.</w:t>
            </w:r>
          </w:p>
        </w:tc>
        <w:tc>
          <w:tcPr>
            <w:tcW w:type="dxa" w:w="1584"/>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Verified runtime.</w:t>
            </w:r>
          </w:p>
        </w:tc>
      </w:tr>
      <w:tr>
        <w:tc>
          <w:tcPr>
            <w:tcW w:type="dxa" w:w="1944"/>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Standby heuristic</w:t>
            </w:r>
          </w:p>
        </w:tc>
        <w:tc>
          <w:tcPr>
            <w:tcW w:type="dxa" w:w="2664"/>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User 6; D = 3 days; total 1.50 kWh.</w:t>
            </w:r>
          </w:p>
        </w:tc>
        <w:tc>
          <w:tcPr>
            <w:tcW w:type="dxa" w:w="3312"/>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Baseline 4.17 W; daily 0.10 kWh; monthly 3.00 kWh; monthly cost $0.36; risk LOW.</w:t>
            </w:r>
          </w:p>
        </w:tc>
        <w:tc>
          <w:tcPr>
            <w:tcW w:type="dxa" w:w="1584"/>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Verified runtime; heuristic output.</w:t>
            </w:r>
          </w:p>
        </w:tc>
      </w:tr>
      <w:tr>
        <w:tc>
          <w:tcPr>
            <w:tcW w:type="dxa" w:w="1944"/>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Threshold alert and delivery</w:t>
            </w:r>
          </w:p>
        </w:tc>
        <w:tc>
          <w:tcPr>
            <w:tcW w:type="dxa" w:w="2664"/>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User 7: threshold 0.10 kWh; one 1.00 kWh event.</w:t>
            </w:r>
          </w:p>
        </w:tc>
        <w:tc>
          <w:tcPr>
            <w:tcW w:type="dxa" w:w="3312"/>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Condition 1.00 &gt; 0.10 produced a detailed alert, a delivery-status record, and one Mailpit email. Alerting was then disabled.</w:t>
            </w:r>
          </w:p>
        </w:tc>
        <w:tc>
          <w:tcPr>
            <w:tcW w:type="dxa" w:w="1584"/>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Verified runtime.</w:t>
            </w:r>
          </w:p>
        </w:tc>
      </w:tr>
      <w:tr>
        <w:tc>
          <w:tcPr>
            <w:tcW w:type="dxa" w:w="1944"/>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Availability observation</w:t>
            </w:r>
          </w:p>
        </w:tc>
        <w:tc>
          <w:tcPr>
            <w:tcW w:type="dxa" w:w="2664"/>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One controlled run with 3 s usage polling and 5 s alert polling.</w:t>
            </w:r>
          </w:p>
        </w:tc>
        <w:tc>
          <w:tcPr>
            <w:tcW w:type="dxa" w:w="3312"/>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Usage and insight outputs were observed within 3.72 s; alert records within 5.23 s. These are polling-bounded observations, not benchmark latencies.</w:t>
            </w:r>
          </w:p>
        </w:tc>
        <w:tc>
          <w:tcPr>
            <w:tcW w:type="dxa" w:w="1584"/>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Observed once; not a performance claim.</w:t>
            </w:r>
          </w:p>
        </w:tc>
      </w:tr>
      <w:tr>
        <w:tc>
          <w:tcPr>
            <w:tcW w:type="dxa" w:w="1944"/>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Resilience or load behavior</w:t>
            </w:r>
          </w:p>
        </w:tc>
        <w:tc>
          <w:tcPr>
            <w:tcW w:type="dxa" w:w="2664"/>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No load/fault-injection protocol.</w:t>
            </w:r>
          </w:p>
        </w:tc>
        <w:tc>
          <w:tcPr>
            <w:tcW w:type="dxa" w:w="3312"/>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No throughput, resource, or recovery result recorded.</w:t>
            </w:r>
          </w:p>
        </w:tc>
        <w:tc>
          <w:tcPr>
            <w:tcW w:type="dxa" w:w="1584"/>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[TO BE PROVIDED].</w:t>
            </w:r>
          </w:p>
        </w:tc>
      </w:tr>
    </w:tbl>
    <w:p>
      <w:pPr>
        <w:spacing w:after="20"/>
      </w:pPr>
    </w:p>
    <w:p>
      <w:pPr>
        <w:widowControl/>
        <w:spacing w:after="100" w:before="0" w:line="276" w:lineRule="auto"/>
        <w:ind w:firstLine="0"/>
        <w:jc w:val="both"/>
      </w:pPr>
      <w:r>
        <w:rPr>
          <w:rFonts w:ascii="Times New Roman" w:hAnsi="Times New Roman" w:eastAsia="Times New Roman"/>
          <w:b w:val="0"/>
          <w:i w:val="0"/>
          <w:color w:val="000000"/>
          <w:sz w:val="22"/>
        </w:rPr>
        <w:t>The direct InfluxDB query for device 305 returned records at 16:25:03.929Z, 16:25:04.032Z, and 16:25:04.078Z with values 0.25, 0.50, and 0.75, respectively. The Mailpit message had subject “Energy Usage Alert for User 7” and contained the threshold (0.1) and energy-consumed value (1.0). Ingestion-service logs recorded the corresponding correlation identifier and EnergyUsageEvent values. These artefacts establish traceability from HTTP acceptance to stored usage and alert delivery for this one run.</w:t>
      </w:r>
    </w:p>
    <w:p>
      <w:pPr>
        <w:widowControl/>
        <w:spacing w:after="100" w:before="0" w:line="276" w:lineRule="auto"/>
        <w:ind w:firstLine="0"/>
        <w:jc w:val="both"/>
      </w:pPr>
      <w:r>
        <w:rPr>
          <w:rFonts w:ascii="Times New Roman" w:hAnsi="Times New Roman" w:eastAsia="Times New Roman"/>
          <w:b w:val="0"/>
          <w:i w:val="0"/>
          <w:color w:val="000000"/>
          <w:sz w:val="22"/>
        </w:rPr>
        <w:t>The current dashboard contains presentation-oriented fallback behavior; therefore backend responses, persistence queries, alert records, and Mailpit evidence should be treated as the primary result artefacts. Additional controlled runs, screenshots, and timestamp logs should be attached before final publication.</w:t>
      </w:r>
    </w:p>
    <w:p>
      <w:pPr>
        <w:pStyle w:val="Heading2"/>
        <w:keepNext/>
        <w:widowControl/>
        <w:spacing w:before="160" w:after="100"/>
      </w:pPr>
      <w:r>
        <w:rPr>
          <w:rFonts w:ascii="Times New Roman" w:hAnsi="Times New Roman" w:eastAsia="Times New Roman"/>
          <w:b/>
          <w:i w:val="0"/>
          <w:color w:val="000000"/>
          <w:sz w:val="24"/>
        </w:rPr>
        <w:t>5.2 Performance Metrics</w:t>
      </w:r>
    </w:p>
    <w:p>
      <w:pPr>
        <w:widowControl/>
        <w:spacing w:after="100" w:before="0" w:line="276" w:lineRule="auto"/>
        <w:ind w:firstLine="0"/>
        <w:jc w:val="both"/>
      </w:pPr>
      <w:r>
        <w:rPr>
          <w:rFonts w:ascii="Times New Roman" w:hAnsi="Times New Roman" w:eastAsia="Times New Roman"/>
          <w:b w:val="0"/>
          <w:i w:val="0"/>
          <w:color w:val="000000"/>
          <w:sz w:val="22"/>
        </w:rPr>
        <w:t>The metrics should reflect the implemented system rather than an unimplemented classifier. The following functional and performance metrics are appropriate. Classification accuracy, precision, recall, F1-score, and confusion matrices are only applicable if future work introduces labelled anomaly data and a classifier.</w:t>
      </w:r>
    </w:p>
    <w:p>
      <w:pPr>
        <w:widowControl/>
        <w:spacing w:after="120" w:before="60" w:line="240" w:lineRule="auto"/>
        <w:jc w:val="center"/>
      </w:pPr>
      <w:r>
        <w:rPr>
          <w:rFonts w:ascii="Times New Roman" w:hAnsi="Times New Roman" w:eastAsia="Times New Roman"/>
          <w:b w:val="0"/>
          <w:i/>
          <w:color w:val="000000"/>
          <w:sz w:val="21"/>
        </w:rPr>
        <w:t>Table 8. Appropriate metrics and required data.</w:t>
      </w:r>
    </w:p>
    <w:tbl>
      <w:tblPr>
        <w:tblStyle w:val="TableGrid"/>
        <w:tblW w:type="auto" w:w="0"/>
        <w:jc w:val="center"/>
        <w:tblLayout w:type="autofit"/>
        <w:tblLook w:firstColumn="1" w:firstRow="1" w:lastColumn="0" w:lastRow="0" w:noHBand="0" w:noVBand="1" w:val="04A0"/>
      </w:tblPr>
      <w:tblGrid>
        <w:gridCol w:w="2521"/>
        <w:gridCol w:w="2521"/>
        <w:gridCol w:w="2521"/>
        <w:gridCol w:w="2521"/>
      </w:tblGrid>
      <w:tr>
        <w:trPr>
          <w:tblHeader w:val="true"/>
          <w:tblHeader w:val="true"/>
        </w:trPr>
        <w:tc>
          <w:tcPr>
            <w:tcW w:type="dxa" w:w="2088"/>
            <w:vAlign w:val="center"/>
            <w:shd w:fill="D9E2F3"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center"/>
            </w:pPr>
            <w:r>
              <w:rPr>
                <w:rFonts w:ascii="Times New Roman" w:hAnsi="Times New Roman" w:eastAsia="Times New Roman"/>
                <w:b/>
                <w:color w:val="000000"/>
                <w:sz w:val="20"/>
              </w:rPr>
            </w:r>
            <w:r>
              <w:rPr>
                <w:rFonts w:ascii="Times New Roman" w:hAnsi="Times New Roman" w:eastAsia="Times New Roman"/>
                <w:b/>
                <w:i w:val="0"/>
                <w:color w:val="000000"/>
                <w:sz w:val="20"/>
              </w:rPr>
              <w:t>Metric</w:t>
            </w:r>
          </w:p>
        </w:tc>
        <w:tc>
          <w:tcPr>
            <w:tcW w:type="dxa" w:w="2952"/>
            <w:vAlign w:val="center"/>
            <w:shd w:fill="D9E2F3"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center"/>
            </w:pPr>
            <w:r>
              <w:rPr>
                <w:rFonts w:ascii="Times New Roman" w:hAnsi="Times New Roman" w:eastAsia="Times New Roman"/>
                <w:b/>
                <w:color w:val="000000"/>
                <w:sz w:val="20"/>
              </w:rPr>
            </w:r>
            <w:r>
              <w:rPr>
                <w:rFonts w:ascii="Times New Roman" w:hAnsi="Times New Roman" w:eastAsia="Times New Roman"/>
                <w:b/>
                <w:i w:val="0"/>
                <w:color w:val="000000"/>
                <w:sz w:val="20"/>
              </w:rPr>
              <w:t>Definition</w:t>
            </w:r>
          </w:p>
        </w:tc>
        <w:tc>
          <w:tcPr>
            <w:tcW w:type="dxa" w:w="2952"/>
            <w:vAlign w:val="center"/>
            <w:shd w:fill="D9E2F3"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center"/>
            </w:pPr>
            <w:r>
              <w:rPr>
                <w:rFonts w:ascii="Times New Roman" w:hAnsi="Times New Roman" w:eastAsia="Times New Roman"/>
                <w:b/>
                <w:color w:val="000000"/>
                <w:sz w:val="20"/>
              </w:rPr>
            </w:r>
            <w:r>
              <w:rPr>
                <w:rFonts w:ascii="Times New Roman" w:hAnsi="Times New Roman" w:eastAsia="Times New Roman"/>
                <w:b/>
                <w:i w:val="0"/>
                <w:color w:val="000000"/>
                <w:sz w:val="20"/>
              </w:rPr>
              <w:t>Why relevant</w:t>
            </w:r>
          </w:p>
        </w:tc>
        <w:tc>
          <w:tcPr>
            <w:tcW w:type="dxa" w:w="2088"/>
            <w:vAlign w:val="center"/>
            <w:shd w:fill="D9E2F3"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center"/>
            </w:pPr>
            <w:r>
              <w:rPr>
                <w:rFonts w:ascii="Times New Roman" w:hAnsi="Times New Roman" w:eastAsia="Times New Roman"/>
                <w:b/>
                <w:color w:val="000000"/>
                <w:sz w:val="20"/>
              </w:rPr>
            </w:r>
            <w:r>
              <w:rPr>
                <w:rFonts w:ascii="Times New Roman" w:hAnsi="Times New Roman" w:eastAsia="Times New Roman"/>
                <w:b/>
                <w:i w:val="0"/>
                <w:color w:val="000000"/>
                <w:sz w:val="20"/>
              </w:rPr>
              <w:t>Current evidence</w:t>
            </w:r>
          </w:p>
        </w:tc>
      </w:tr>
      <w:tr>
        <w:tc>
          <w:tcPr>
            <w:tcW w:type="dxa" w:w="2088"/>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Ingestion acceptance rate</w:t>
            </w:r>
          </w:p>
        </w:tc>
        <w:tc>
          <w:tcPr>
            <w:tcW w:type="dxa" w:w="2952"/>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100 x N_201 / N_submitted, where N_201 is the number of HTTP 201 responses.</w:t>
            </w:r>
          </w:p>
        </w:tc>
        <w:tc>
          <w:tcPr>
            <w:tcW w:type="dxa" w:w="2952"/>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Measures whether valid telemetry is accepted by the API path.</w:t>
            </w:r>
          </w:p>
        </w:tc>
        <w:tc>
          <w:tcPr>
            <w:tcW w:type="dxa" w:w="2088"/>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100% (3/3) in one controlled run; not a load-test result.</w:t>
            </w:r>
          </w:p>
        </w:tc>
      </w:tr>
      <w:tr>
        <w:tc>
          <w:tcPr>
            <w:tcW w:type="dxa" w:w="2088"/>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Event persistence rate</w:t>
            </w:r>
          </w:p>
        </w:tc>
        <w:tc>
          <w:tcPr>
            <w:tcW w:type="dxa" w:w="2952"/>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100 x N_stored / N_accepted.</w:t>
            </w:r>
          </w:p>
        </w:tc>
        <w:tc>
          <w:tcPr>
            <w:tcW w:type="dxa" w:w="2952"/>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Measures end-to-end transfer from accepted event to queryable time-series point.</w:t>
            </w:r>
          </w:p>
        </w:tc>
        <w:tc>
          <w:tcPr>
            <w:tcW w:type="dxa" w:w="2088"/>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100% (3/3) in one controlled run; evidenced by the direct InfluxDB query.</w:t>
            </w:r>
          </w:p>
        </w:tc>
      </w:tr>
      <w:tr>
        <w:tc>
          <w:tcPr>
            <w:tcW w:type="dxa" w:w="2088"/>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End-to-end availability observation</w:t>
            </w:r>
          </w:p>
        </w:tc>
        <w:tc>
          <w:tcPr>
            <w:tcW w:type="dxa" w:w="2952"/>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t_output_observed - t_first_submitted.</w:t>
            </w:r>
          </w:p>
        </w:tc>
        <w:tc>
          <w:tcPr>
            <w:tcW w:type="dxa" w:w="2952"/>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Records time until the usage and insight endpoints expose a result.</w:t>
            </w:r>
          </w:p>
        </w:tc>
        <w:tc>
          <w:tcPr>
            <w:tcW w:type="dxa" w:w="2088"/>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3.72 s in one run with 3 s polling; not a latency benchmark.</w:t>
            </w:r>
          </w:p>
        </w:tc>
      </w:tr>
      <w:tr>
        <w:tc>
          <w:tcPr>
            <w:tcW w:type="dxa" w:w="2088"/>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Alert-observation time</w:t>
            </w:r>
          </w:p>
        </w:tc>
        <w:tc>
          <w:tcPr>
            <w:tcW w:type="dxa" w:w="2952"/>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t_alert_observed - t_submitted.</w:t>
            </w:r>
          </w:p>
        </w:tc>
        <w:tc>
          <w:tcPr>
            <w:tcW w:type="dxa" w:w="2952"/>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Records time from telemetry submission to a persisted alert record.</w:t>
            </w:r>
          </w:p>
        </w:tc>
        <w:tc>
          <w:tcPr>
            <w:tcW w:type="dxa" w:w="2088"/>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5.23 s in one run with 5 s polling; not a latency benchmark.</w:t>
            </w:r>
          </w:p>
        </w:tc>
      </w:tr>
      <w:tr>
        <w:tc>
          <w:tcPr>
            <w:tcW w:type="dxa" w:w="2088"/>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Throughput</w:t>
            </w:r>
          </w:p>
        </w:tc>
        <w:tc>
          <w:tcPr>
            <w:tcW w:type="dxa" w:w="2952"/>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N_accepted / experiment duration.</w:t>
            </w:r>
          </w:p>
        </w:tc>
        <w:tc>
          <w:tcPr>
            <w:tcW w:type="dxa" w:w="2952"/>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Measures the event rate handled during a defined test run.</w:t>
            </w:r>
          </w:p>
        </w:tc>
        <w:tc>
          <w:tcPr>
            <w:tcW w:type="dxa" w:w="2088"/>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[TO BE PROVIDED].</w:t>
            </w:r>
          </w:p>
        </w:tc>
      </w:tr>
      <w:tr>
        <w:tc>
          <w:tcPr>
            <w:tcW w:type="dxa" w:w="2088"/>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Forecast MAE</w:t>
            </w:r>
          </w:p>
        </w:tc>
        <w:tc>
          <w:tcPr>
            <w:tcW w:type="dxa" w:w="2952"/>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(1/n) sum |y_i - yhat_i| against actual bill/consumption reference.</w:t>
            </w:r>
          </w:p>
        </w:tc>
        <w:tc>
          <w:tcPr>
            <w:tcW w:type="dxa" w:w="2952"/>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Required only when a real, matched reference series is available.</w:t>
            </w:r>
          </w:p>
        </w:tc>
        <w:tc>
          <w:tcPr>
            <w:tcW w:type="dxa" w:w="2088"/>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Not computable without [TO BE PROVIDED: ground truth].</w:t>
            </w:r>
          </w:p>
        </w:tc>
      </w:tr>
      <w:tr>
        <w:tc>
          <w:tcPr>
            <w:tcW w:type="dxa" w:w="2088"/>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Standby precision/recall</w:t>
            </w:r>
          </w:p>
        </w:tc>
        <w:tc>
          <w:tcPr>
            <w:tcW w:type="dxa" w:w="2952"/>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Compare predicted standby instances with labelled ground truth.</w:t>
            </w:r>
          </w:p>
        </w:tc>
        <w:tc>
          <w:tcPr>
            <w:tcW w:type="dxa" w:w="2952"/>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Required only for a validated standby-detection claim.</w:t>
            </w:r>
          </w:p>
        </w:tc>
        <w:tc>
          <w:tcPr>
            <w:tcW w:type="dxa" w:w="2088"/>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Not computable without [TO BE PROVIDED: labels].</w:t>
            </w:r>
          </w:p>
        </w:tc>
      </w:tr>
      <w:tr>
        <w:tc>
          <w:tcPr>
            <w:tcW w:type="dxa" w:w="2088"/>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Resource usage</w:t>
            </w:r>
          </w:p>
        </w:tc>
        <w:tc>
          <w:tcPr>
            <w:tcW w:type="dxa" w:w="2952"/>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CPU, memory, and container utilization during test.</w:t>
            </w:r>
          </w:p>
        </w:tc>
        <w:tc>
          <w:tcPr>
            <w:tcW w:type="dxa" w:w="2952"/>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Supports performance/scalability discussion.</w:t>
            </w:r>
          </w:p>
        </w:tc>
        <w:tc>
          <w:tcPr>
            <w:tcW w:type="dxa" w:w="2088"/>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[TO BE PROVIDED].</w:t>
            </w:r>
          </w:p>
        </w:tc>
      </w:tr>
    </w:tbl>
    <w:p>
      <w:pPr>
        <w:spacing w:after="20"/>
      </w:pPr>
    </w:p>
    <w:p>
      <w:pPr>
        <w:widowControl/>
        <w:spacing w:after="100" w:before="60"/>
        <w:jc w:val="center"/>
      </w:pPr>
      <w:r>
        <w:rPr>
          <w:rFonts w:ascii="Times New Roman" w:hAnsi="Times New Roman" w:eastAsia="Times New Roman"/>
          <w:b w:val="0"/>
          <w:i/>
          <w:color w:val="000000"/>
          <w:sz w:val="22"/>
        </w:rPr>
        <w:t>Acceptance rate = 100 x N_201 / N_submitted,     Persistence rate = 100 x N_stored / N_accepted</w:t>
      </w:r>
    </w:p>
    <w:p>
      <w:pPr>
        <w:widowControl/>
        <w:spacing w:after="100" w:before="60"/>
        <w:jc w:val="center"/>
      </w:pPr>
      <w:r>
        <w:rPr>
          <w:rFonts w:ascii="Times New Roman" w:hAnsi="Times New Roman" w:eastAsia="Times New Roman"/>
          <w:b w:val="0"/>
          <w:i/>
          <w:color w:val="000000"/>
          <w:sz w:val="22"/>
        </w:rPr>
        <w:t>MAE = (1 / n) x sum |y_i - yhat_i|   (only with a matched ground-truth reference)</w:t>
      </w:r>
    </w:p>
    <w:p>
      <w:pPr>
        <w:pStyle w:val="Heading2"/>
        <w:keepNext/>
        <w:widowControl/>
        <w:spacing w:before="160" w:after="100"/>
      </w:pPr>
      <w:r>
        <w:rPr>
          <w:rFonts w:ascii="Times New Roman" w:hAnsi="Times New Roman" w:eastAsia="Times New Roman"/>
          <w:b/>
          <w:i w:val="0"/>
          <w:color w:val="000000"/>
          <w:sz w:val="24"/>
        </w:rPr>
        <w:t>5.3 Comparison with Existing Methods</w:t>
      </w:r>
    </w:p>
    <w:p>
      <w:pPr>
        <w:widowControl/>
        <w:spacing w:after="100" w:before="0" w:line="276" w:lineRule="auto"/>
        <w:ind w:firstLine="0"/>
        <w:jc w:val="both"/>
      </w:pPr>
      <w:r>
        <w:rPr>
          <w:rFonts w:ascii="Times New Roman" w:hAnsi="Times New Roman" w:eastAsia="Times New Roman"/>
          <w:b w:val="0"/>
          <w:i w:val="0"/>
          <w:color w:val="000000"/>
          <w:sz w:val="22"/>
        </w:rPr>
        <w:t>No controlled baseline implementation or comparable experimental dataset is present. Consequently, a numerical comparison would be fabricated and is intentionally not provided. Before final submission, the authors should choose one or more baselines that use the same telemetry source, observation window, and evaluation protocol. Possible baselines must be defined by the actual future experiment, not inferred from the literature review.</w:t>
      </w:r>
    </w:p>
    <w:p>
      <w:pPr>
        <w:widowControl/>
        <w:spacing w:after="120" w:before="60" w:line="240" w:lineRule="auto"/>
        <w:jc w:val="center"/>
      </w:pPr>
      <w:r>
        <w:rPr>
          <w:rFonts w:ascii="Times New Roman" w:hAnsi="Times New Roman" w:eastAsia="Times New Roman"/>
          <w:b w:val="0"/>
          <w:i/>
          <w:color w:val="000000"/>
          <w:sz w:val="21"/>
        </w:rPr>
        <w:t>Table 9. Comparison framework for future controlled evaluation.</w:t>
      </w:r>
    </w:p>
    <w:tbl>
      <w:tblPr>
        <w:tblStyle w:val="TableGrid"/>
        <w:tblW w:type="auto" w:w="0"/>
        <w:jc w:val="center"/>
        <w:tblLayout w:type="autofit"/>
        <w:tblLook w:firstColumn="1" w:firstRow="1" w:lastColumn="0" w:lastRow="0" w:noHBand="0" w:noVBand="1" w:val="04A0"/>
      </w:tblPr>
      <w:tblGrid>
        <w:gridCol w:w="1681"/>
        <w:gridCol w:w="1681"/>
        <w:gridCol w:w="1681"/>
        <w:gridCol w:w="1681"/>
        <w:gridCol w:w="1681"/>
        <w:gridCol w:w="1681"/>
      </w:tblGrid>
      <w:tr>
        <w:trPr>
          <w:tblHeader w:val="true"/>
          <w:tblHeader w:val="true"/>
        </w:trPr>
        <w:tc>
          <w:tcPr>
            <w:tcW w:type="dxa" w:w="2304"/>
            <w:vAlign w:val="center"/>
            <w:shd w:fill="D9E2F3"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center"/>
            </w:pPr>
            <w:r>
              <w:rPr>
                <w:rFonts w:ascii="Times New Roman" w:hAnsi="Times New Roman" w:eastAsia="Times New Roman"/>
                <w:b/>
                <w:color w:val="000000"/>
                <w:sz w:val="20"/>
              </w:rPr>
            </w:r>
            <w:r>
              <w:rPr>
                <w:rFonts w:ascii="Times New Roman" w:hAnsi="Times New Roman" w:eastAsia="Times New Roman"/>
                <w:b/>
                <w:i w:val="0"/>
                <w:color w:val="000000"/>
                <w:sz w:val="20"/>
              </w:rPr>
              <w:t>Method</w:t>
            </w:r>
          </w:p>
        </w:tc>
        <w:tc>
          <w:tcPr>
            <w:tcW w:type="dxa" w:w="1944"/>
            <w:vAlign w:val="center"/>
            <w:shd w:fill="D9E2F3"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center"/>
            </w:pPr>
            <w:r>
              <w:rPr>
                <w:rFonts w:ascii="Times New Roman" w:hAnsi="Times New Roman" w:eastAsia="Times New Roman"/>
                <w:b/>
                <w:color w:val="000000"/>
                <w:sz w:val="20"/>
              </w:rPr>
            </w:r>
            <w:r>
              <w:rPr>
                <w:rFonts w:ascii="Times New Roman" w:hAnsi="Times New Roman" w:eastAsia="Times New Roman"/>
                <w:b/>
                <w:i w:val="0"/>
                <w:color w:val="000000"/>
                <w:sz w:val="20"/>
              </w:rPr>
              <w:t>Dataset or scenario</w:t>
            </w:r>
          </w:p>
        </w:tc>
        <w:tc>
          <w:tcPr>
            <w:tcW w:type="dxa" w:w="1224"/>
            <w:vAlign w:val="center"/>
            <w:shd w:fill="D9E2F3"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center"/>
            </w:pPr>
            <w:r>
              <w:rPr>
                <w:rFonts w:ascii="Times New Roman" w:hAnsi="Times New Roman" w:eastAsia="Times New Roman"/>
                <w:b/>
                <w:color w:val="000000"/>
                <w:sz w:val="20"/>
              </w:rPr>
            </w:r>
            <w:r>
              <w:rPr>
                <w:rFonts w:ascii="Times New Roman" w:hAnsi="Times New Roman" w:eastAsia="Times New Roman"/>
                <w:b/>
                <w:i w:val="0"/>
                <w:color w:val="000000"/>
                <w:sz w:val="20"/>
              </w:rPr>
              <w:t>Metric 1</w:t>
            </w:r>
          </w:p>
        </w:tc>
        <w:tc>
          <w:tcPr>
            <w:tcW w:type="dxa" w:w="1224"/>
            <w:vAlign w:val="center"/>
            <w:shd w:fill="D9E2F3"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center"/>
            </w:pPr>
            <w:r>
              <w:rPr>
                <w:rFonts w:ascii="Times New Roman" w:hAnsi="Times New Roman" w:eastAsia="Times New Roman"/>
                <w:b/>
                <w:color w:val="000000"/>
                <w:sz w:val="20"/>
              </w:rPr>
            </w:r>
            <w:r>
              <w:rPr>
                <w:rFonts w:ascii="Times New Roman" w:hAnsi="Times New Roman" w:eastAsia="Times New Roman"/>
                <w:b/>
                <w:i w:val="0"/>
                <w:color w:val="000000"/>
                <w:sz w:val="20"/>
              </w:rPr>
              <w:t>Metric 2</w:t>
            </w:r>
          </w:p>
        </w:tc>
        <w:tc>
          <w:tcPr>
            <w:tcW w:type="dxa" w:w="1224"/>
            <w:vAlign w:val="center"/>
            <w:shd w:fill="D9E2F3"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center"/>
            </w:pPr>
            <w:r>
              <w:rPr>
                <w:rFonts w:ascii="Times New Roman" w:hAnsi="Times New Roman" w:eastAsia="Times New Roman"/>
                <w:b/>
                <w:color w:val="000000"/>
                <w:sz w:val="20"/>
              </w:rPr>
            </w:r>
            <w:r>
              <w:rPr>
                <w:rFonts w:ascii="Times New Roman" w:hAnsi="Times New Roman" w:eastAsia="Times New Roman"/>
                <w:b/>
                <w:i w:val="0"/>
                <w:color w:val="000000"/>
                <w:sz w:val="20"/>
              </w:rPr>
              <w:t>Metric 3</w:t>
            </w:r>
          </w:p>
        </w:tc>
        <w:tc>
          <w:tcPr>
            <w:tcW w:type="dxa" w:w="1584"/>
            <w:vAlign w:val="center"/>
            <w:shd w:fill="D9E2F3"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center"/>
            </w:pPr>
            <w:r>
              <w:rPr>
                <w:rFonts w:ascii="Times New Roman" w:hAnsi="Times New Roman" w:eastAsia="Times New Roman"/>
                <w:b/>
                <w:color w:val="000000"/>
                <w:sz w:val="20"/>
              </w:rPr>
            </w:r>
            <w:r>
              <w:rPr>
                <w:rFonts w:ascii="Times New Roman" w:hAnsi="Times New Roman" w:eastAsia="Times New Roman"/>
                <w:b/>
                <w:i w:val="0"/>
                <w:color w:val="000000"/>
                <w:sz w:val="20"/>
              </w:rPr>
              <w:t>Computational cost</w:t>
            </w:r>
          </w:p>
        </w:tc>
      </w:tr>
      <w:tr>
        <w:tc>
          <w:tcPr>
            <w:tcW w:type="dxa" w:w="2304"/>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Proposed Home Energy Tracker</w:t>
            </w:r>
          </w:p>
        </w:tc>
        <w:tc>
          <w:tcPr>
            <w:tcW w:type="dxa" w:w="1944"/>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[TO BE PROVIDED]</w:t>
            </w:r>
          </w:p>
        </w:tc>
        <w:tc>
          <w:tcPr>
            <w:tcW w:type="dxa" w:w="1224"/>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[TO BE PROVIDED]</w:t>
            </w:r>
          </w:p>
        </w:tc>
        <w:tc>
          <w:tcPr>
            <w:tcW w:type="dxa" w:w="1224"/>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[TO BE PROVIDED]</w:t>
            </w:r>
          </w:p>
        </w:tc>
        <w:tc>
          <w:tcPr>
            <w:tcW w:type="dxa" w:w="1224"/>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[TO BE PROVIDED]</w:t>
            </w:r>
          </w:p>
        </w:tc>
        <w:tc>
          <w:tcPr>
            <w:tcW w:type="dxa" w:w="1584"/>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[TO BE PROVIDED]</w:t>
            </w:r>
          </w:p>
        </w:tc>
      </w:tr>
      <w:tr>
        <w:tc>
          <w:tcPr>
            <w:tcW w:type="dxa" w:w="2304"/>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Baseline method A</w:t>
            </w:r>
          </w:p>
        </w:tc>
        <w:tc>
          <w:tcPr>
            <w:tcW w:type="dxa" w:w="1944"/>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[TO BE PROVIDED]</w:t>
            </w:r>
          </w:p>
        </w:tc>
        <w:tc>
          <w:tcPr>
            <w:tcW w:type="dxa" w:w="1224"/>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[TO BE PROVIDED]</w:t>
            </w:r>
          </w:p>
        </w:tc>
        <w:tc>
          <w:tcPr>
            <w:tcW w:type="dxa" w:w="1224"/>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[TO BE PROVIDED]</w:t>
            </w:r>
          </w:p>
        </w:tc>
        <w:tc>
          <w:tcPr>
            <w:tcW w:type="dxa" w:w="1224"/>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[TO BE PROVIDED]</w:t>
            </w:r>
          </w:p>
        </w:tc>
        <w:tc>
          <w:tcPr>
            <w:tcW w:type="dxa" w:w="1584"/>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[TO BE PROVIDED]</w:t>
            </w:r>
          </w:p>
        </w:tc>
      </w:tr>
      <w:tr>
        <w:tc>
          <w:tcPr>
            <w:tcW w:type="dxa" w:w="2304"/>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Baseline method B</w:t>
            </w:r>
          </w:p>
        </w:tc>
        <w:tc>
          <w:tcPr>
            <w:tcW w:type="dxa" w:w="1944"/>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[TO BE PROVIDED]</w:t>
            </w:r>
          </w:p>
        </w:tc>
        <w:tc>
          <w:tcPr>
            <w:tcW w:type="dxa" w:w="1224"/>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[TO BE PROVIDED]</w:t>
            </w:r>
          </w:p>
        </w:tc>
        <w:tc>
          <w:tcPr>
            <w:tcW w:type="dxa" w:w="1224"/>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[TO BE PROVIDED]</w:t>
            </w:r>
          </w:p>
        </w:tc>
        <w:tc>
          <w:tcPr>
            <w:tcW w:type="dxa" w:w="1224"/>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[TO BE PROVIDED]</w:t>
            </w:r>
          </w:p>
        </w:tc>
        <w:tc>
          <w:tcPr>
            <w:tcW w:type="dxa" w:w="1584"/>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[TO BE PROVIDED]</w:t>
            </w:r>
          </w:p>
        </w:tc>
      </w:tr>
    </w:tbl>
    <w:p>
      <w:pPr>
        <w:spacing w:after="20"/>
      </w:pPr>
    </w:p>
    <w:p>
      <w:pPr>
        <w:pStyle w:val="Heading2"/>
        <w:keepNext/>
        <w:widowControl/>
        <w:spacing w:before="160" w:after="100"/>
      </w:pPr>
      <w:r>
        <w:rPr>
          <w:rFonts w:ascii="Times New Roman" w:hAnsi="Times New Roman" w:eastAsia="Times New Roman"/>
          <w:b/>
          <w:i w:val="0"/>
          <w:color w:val="000000"/>
          <w:sz w:val="24"/>
        </w:rPr>
        <w:t>5.4 Discussion</w:t>
      </w:r>
    </w:p>
    <w:p>
      <w:pPr>
        <w:widowControl/>
        <w:spacing w:after="100" w:before="0" w:line="276" w:lineRule="auto"/>
        <w:ind w:firstLine="0"/>
        <w:jc w:val="both"/>
      </w:pPr>
      <w:r>
        <w:rPr>
          <w:rFonts w:ascii="Times New Roman" w:hAnsi="Times New Roman" w:eastAsia="Times New Roman"/>
          <w:b w:val="0"/>
          <w:i w:val="0"/>
          <w:color w:val="000000"/>
          <w:sz w:val="22"/>
        </w:rPr>
        <w:t>Observed implementation evidence and experimental inference must be distinguished. The controlled run verified that three accepted synthetic telemetry events were available through the usage service, generated the expected deterministic insights, and triggered the threshold-based email path in the selected configuration. The source code shows that the prototype separates user/device metadata, telemetry ingestion, time-series storage, analytics, and alert notification into distinct services, connected through REST and Kafka. This result is functional evidence; it is not evidence of measured scalability, physical-meter accuracy, resilience, or household energy savings.</w:t>
      </w:r>
    </w:p>
    <w:p>
      <w:pPr>
        <w:widowControl/>
        <w:spacing w:after="100" w:before="0" w:line="276" w:lineRule="auto"/>
        <w:ind w:firstLine="0"/>
        <w:jc w:val="both"/>
      </w:pPr>
      <w:r>
        <w:rPr>
          <w:rFonts w:ascii="Times New Roman" w:hAnsi="Times New Roman" w:eastAsia="Times New Roman"/>
          <w:b w:val="0"/>
          <w:i w:val="0"/>
          <w:color w:val="000000"/>
          <w:sz w:val="22"/>
        </w:rPr>
        <w:t>The architecture directly operationalizes the integration-oriented research gap by providing a traceable route from a telemetry event to time-series storage, analytics, and notification. Kafka reduces direct coupling between ingestion and downstream processing, while MySQL and InfluxDB separate relational metadata from time-series observations. These design decisions are technically appropriate for the stated system objective, but their performance benefits require load, fault-injection, and end-to-end latency experiments before they can be claimed empirically.</w:t>
      </w:r>
    </w:p>
    <w:p>
      <w:pPr>
        <w:widowControl/>
        <w:spacing w:after="100" w:before="0" w:line="276" w:lineRule="auto"/>
        <w:ind w:firstLine="0"/>
        <w:jc w:val="both"/>
      </w:pPr>
      <w:r>
        <w:rPr>
          <w:rFonts w:ascii="Times New Roman" w:hAnsi="Times New Roman" w:eastAsia="Times New Roman"/>
          <w:b w:val="0"/>
          <w:i w:val="0"/>
          <w:color w:val="000000"/>
          <w:sz w:val="22"/>
        </w:rPr>
        <w:t>The Bill Shock Forecast and Standby Energy Detective provide explainable decision-support outputs. Their strength is transparency: the daily rate, 30-day projection, slab tariff, percentage contribution, and standby coefficient are all explicit. Their limitation is that the virtual telemetry is synthetic and the standby estimate is a fixed 20% average-load heuristic. Therefore, the current prototype can demonstrate system integration and rule execution but cannot substantiate a claim of calibrated energy measurement, exact appliance-level standby attribution, or forecast accuracy.</w:t>
      </w:r>
    </w:p>
    <w:p>
      <w:pPr>
        <w:widowControl/>
        <w:spacing w:after="100" w:before="0" w:line="276" w:lineRule="auto"/>
        <w:ind w:firstLine="0"/>
        <w:jc w:val="both"/>
      </w:pPr>
      <w:r>
        <w:rPr>
          <w:rFonts w:ascii="Times New Roman" w:hAnsi="Times New Roman" w:eastAsia="Times New Roman"/>
          <w:b w:val="0"/>
          <w:i w:val="0"/>
          <w:color w:val="000000"/>
          <w:sz w:val="22"/>
        </w:rPr>
        <w:t>The optional Ollama integration should also be interpreted carefully. It provides narrative wording for recommendations when available and falls back to deterministic text when unavailable. It does not calculate bill values, identify anomalies, or serve as a validated predictive model. This fallback behavior improves functional robustness of the user interface but does not establish AI-model performance.</w:t>
      </w:r>
    </w:p>
    <w:p>
      <w:pPr>
        <w:pStyle w:val="Heading1"/>
        <w:keepNext/>
        <w:widowControl/>
        <w:spacing w:before="220" w:after="100"/>
      </w:pPr>
      <w:r>
        <w:rPr>
          <w:rFonts w:ascii="Times New Roman" w:hAnsi="Times New Roman" w:eastAsia="Times New Roman"/>
          <w:b/>
          <w:i w:val="0"/>
          <w:color w:val="000000"/>
          <w:sz w:val="28"/>
        </w:rPr>
        <w:t>6. CONCLUSION</w:t>
      </w:r>
    </w:p>
    <w:p>
      <w:pPr>
        <w:pStyle w:val="Heading2"/>
        <w:keepNext/>
        <w:widowControl/>
        <w:spacing w:before="160" w:after="100"/>
      </w:pPr>
      <w:r>
        <w:rPr>
          <w:rFonts w:ascii="Times New Roman" w:hAnsi="Times New Roman" w:eastAsia="Times New Roman"/>
          <w:b/>
          <w:i w:val="0"/>
          <w:color w:val="000000"/>
          <w:sz w:val="24"/>
        </w:rPr>
        <w:t>6.1 Summary of Proposed Work</w:t>
      </w:r>
    </w:p>
    <w:p>
      <w:pPr>
        <w:widowControl/>
        <w:spacing w:after="100" w:before="0" w:line="276" w:lineRule="auto"/>
        <w:ind w:firstLine="0"/>
        <w:jc w:val="both"/>
      </w:pPr>
      <w:r>
        <w:rPr>
          <w:rFonts w:ascii="Times New Roman" w:hAnsi="Times New Roman" w:eastAsia="Times New Roman"/>
          <w:b w:val="0"/>
          <w:i w:val="0"/>
          <w:color w:val="000000"/>
          <w:sz w:val="22"/>
        </w:rPr>
        <w:t>This work proposes a microservices-based Home Energy Tracker that accepts household device telemetry, transmits it through an event-driven pipeline, stores time-series observations, and returns interpretable energy-management outputs. The current implementation combines a Wokwi ESP32 virtual meter, API Gateway, Ingestion, Usage, Insight, and Alert services, Apache Kafka, InfluxDB, MySQL, a React dashboard, and Mailpit for local notification capture. The system produces deterministic bill forecasts, appliance rankings, standby-risk estimates, and threshold alerts.</w:t>
      </w:r>
    </w:p>
    <w:p>
      <w:pPr>
        <w:pStyle w:val="Heading2"/>
        <w:keepNext/>
        <w:widowControl/>
        <w:spacing w:before="160" w:after="100"/>
      </w:pPr>
      <w:r>
        <w:rPr>
          <w:rFonts w:ascii="Times New Roman" w:hAnsi="Times New Roman" w:eastAsia="Times New Roman"/>
          <w:b/>
          <w:i w:val="0"/>
          <w:color w:val="000000"/>
          <w:sz w:val="24"/>
        </w:rPr>
        <w:t>6.2 Key Findings and Expected Contribution</w:t>
      </w:r>
    </w:p>
    <w:p>
      <w:pPr>
        <w:widowControl/>
        <w:spacing w:after="100" w:before="0" w:line="276" w:lineRule="auto"/>
        <w:ind w:firstLine="0"/>
        <w:jc w:val="both"/>
      </w:pPr>
      <w:r>
        <w:rPr>
          <w:rFonts w:ascii="Times New Roman" w:hAnsi="Times New Roman" w:eastAsia="Times New Roman"/>
          <w:b w:val="0"/>
          <w:i w:val="0"/>
          <w:color w:val="000000"/>
          <w:sz w:val="22"/>
        </w:rPr>
        <w:t>At the present Review-2 stage, the contribution is an implemented and traceable system design with one controlled functional verification run, rather than a completed empirical performance study. In the recorded run, three synthetic events were accepted and retrieved as 1.50 kWh, and the forecast, ranking, standby heuristic, and threshold alert matched the specified deterministic behavior. Quantified findings on general latency, throughput, forecast error against a meter or utility bill, standby-detection accuracy, resilience, and comparative performance remain [TO BE PROVIDED] after larger controlled experimentation.</w:t>
      </w:r>
    </w:p>
    <w:p>
      <w:pPr>
        <w:pStyle w:val="Heading2"/>
        <w:keepNext/>
        <w:widowControl/>
        <w:spacing w:before="160" w:after="100"/>
      </w:pPr>
      <w:r>
        <w:rPr>
          <w:rFonts w:ascii="Times New Roman" w:hAnsi="Times New Roman" w:eastAsia="Times New Roman"/>
          <w:b/>
          <w:i w:val="0"/>
          <w:color w:val="000000"/>
          <w:sz w:val="24"/>
        </w:rPr>
        <w:t>6.3 Addressing the Research Gap</w:t>
      </w:r>
    </w:p>
    <w:p>
      <w:pPr>
        <w:widowControl/>
        <w:spacing w:after="120" w:before="60" w:line="240" w:lineRule="auto"/>
        <w:jc w:val="center"/>
      </w:pPr>
      <w:r>
        <w:rPr>
          <w:rFonts w:ascii="Times New Roman" w:hAnsi="Times New Roman" w:eastAsia="Times New Roman"/>
          <w:b w:val="0"/>
          <w:i/>
          <w:color w:val="000000"/>
          <w:sz w:val="21"/>
        </w:rPr>
        <w:t>Table 10. Current alignment between identified research gaps and the proposed work.</w:t>
      </w:r>
    </w:p>
    <w:tbl>
      <w:tblPr>
        <w:tblStyle w:val="TableGrid"/>
        <w:tblW w:type="auto" w:w="0"/>
        <w:jc w:val="center"/>
        <w:tblLayout w:type="autofit"/>
        <w:tblLook w:firstColumn="1" w:firstRow="1" w:lastColumn="0" w:lastRow="0" w:noHBand="0" w:noVBand="1" w:val="04A0"/>
      </w:tblPr>
      <w:tblGrid>
        <w:gridCol w:w="2521"/>
        <w:gridCol w:w="2521"/>
        <w:gridCol w:w="2521"/>
        <w:gridCol w:w="2521"/>
      </w:tblGrid>
      <w:tr>
        <w:trPr>
          <w:tblHeader w:val="true"/>
          <w:tblHeader w:val="true"/>
        </w:trPr>
        <w:tc>
          <w:tcPr>
            <w:tcW w:type="dxa" w:w="1944"/>
            <w:vAlign w:val="center"/>
            <w:shd w:fill="D9E2F3"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center"/>
            </w:pPr>
            <w:r>
              <w:rPr>
                <w:rFonts w:ascii="Times New Roman" w:hAnsi="Times New Roman" w:eastAsia="Times New Roman"/>
                <w:b/>
                <w:color w:val="000000"/>
                <w:sz w:val="20"/>
              </w:rPr>
            </w:r>
            <w:r>
              <w:rPr>
                <w:rFonts w:ascii="Times New Roman" w:hAnsi="Times New Roman" w:eastAsia="Times New Roman"/>
                <w:b/>
                <w:i w:val="0"/>
                <w:color w:val="000000"/>
                <w:sz w:val="20"/>
              </w:rPr>
              <w:t>Research gap</w:t>
            </w:r>
          </w:p>
        </w:tc>
        <w:tc>
          <w:tcPr>
            <w:tcW w:type="dxa" w:w="3024"/>
            <w:vAlign w:val="center"/>
            <w:shd w:fill="D9E2F3"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center"/>
            </w:pPr>
            <w:r>
              <w:rPr>
                <w:rFonts w:ascii="Times New Roman" w:hAnsi="Times New Roman" w:eastAsia="Times New Roman"/>
                <w:b/>
                <w:color w:val="000000"/>
                <w:sz w:val="20"/>
              </w:rPr>
            </w:r>
            <w:r>
              <w:rPr>
                <w:rFonts w:ascii="Times New Roman" w:hAnsi="Times New Roman" w:eastAsia="Times New Roman"/>
                <w:b/>
                <w:i w:val="0"/>
                <w:color w:val="000000"/>
                <w:sz w:val="20"/>
              </w:rPr>
              <w:t>Proposed solution</w:t>
            </w:r>
          </w:p>
        </w:tc>
        <w:tc>
          <w:tcPr>
            <w:tcW w:type="dxa" w:w="2520"/>
            <w:vAlign w:val="center"/>
            <w:shd w:fill="D9E2F3"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center"/>
            </w:pPr>
            <w:r>
              <w:rPr>
                <w:rFonts w:ascii="Times New Roman" w:hAnsi="Times New Roman" w:eastAsia="Times New Roman"/>
                <w:b/>
                <w:color w:val="000000"/>
                <w:sz w:val="20"/>
              </w:rPr>
            </w:r>
            <w:r>
              <w:rPr>
                <w:rFonts w:ascii="Times New Roman" w:hAnsi="Times New Roman" w:eastAsia="Times New Roman"/>
                <w:b/>
                <w:i w:val="0"/>
                <w:color w:val="000000"/>
                <w:sz w:val="20"/>
              </w:rPr>
              <w:t>Evidence or result status</w:t>
            </w:r>
          </w:p>
        </w:tc>
        <w:tc>
          <w:tcPr>
            <w:tcW w:type="dxa" w:w="1944"/>
            <w:vAlign w:val="center"/>
            <w:shd w:fill="D9E2F3"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center"/>
            </w:pPr>
            <w:r>
              <w:rPr>
                <w:rFonts w:ascii="Times New Roman" w:hAnsi="Times New Roman" w:eastAsia="Times New Roman"/>
                <w:b/>
                <w:color w:val="000000"/>
                <w:sz w:val="20"/>
              </w:rPr>
            </w:r>
            <w:r>
              <w:rPr>
                <w:rFonts w:ascii="Times New Roman" w:hAnsi="Times New Roman" w:eastAsia="Times New Roman"/>
                <w:b/>
                <w:i w:val="0"/>
                <w:color w:val="000000"/>
                <w:sz w:val="20"/>
              </w:rPr>
              <w:t>Current contribution</w:t>
            </w:r>
          </w:p>
        </w:tc>
      </w:tr>
      <w:tr>
        <w:tc>
          <w:tcPr>
            <w:tcW w:type="dxa" w:w="1944"/>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Limited integration of scalable AI-assisted event-driven services</w:t>
            </w:r>
          </w:p>
        </w:tc>
        <w:tc>
          <w:tcPr>
            <w:tcW w:type="dxa" w:w="3024"/>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Gateway, Spring Boot services, Kafka, InfluxDB, MySQL, deterministic insights, and alert service in one prototype.</w:t>
            </w:r>
          </w:p>
        </w:tc>
        <w:tc>
          <w:tcPr>
            <w:tcW w:type="dxa" w:w="2520"/>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Implementation architecture and source code are available; performance evidence [TO BE PROVIDED].</w:t>
            </w:r>
          </w:p>
        </w:tc>
        <w:tc>
          <w:tcPr>
            <w:tcW w:type="dxa" w:w="1944"/>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Directly addressed at integration level.</w:t>
            </w:r>
          </w:p>
        </w:tc>
      </w:tr>
      <w:tr>
        <w:tc>
          <w:tcPr>
            <w:tcW w:type="dxa" w:w="1944"/>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Lack of standardized datasets and metrics</w:t>
            </w:r>
          </w:p>
        </w:tc>
        <w:tc>
          <w:tcPr>
            <w:tcW w:type="dxa" w:w="3024"/>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Results and metric framework in Sections 4-5.</w:t>
            </w:r>
          </w:p>
        </w:tc>
        <w:tc>
          <w:tcPr>
            <w:tcW w:type="dxa" w:w="2520"/>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No benchmark dataset, labels, or numeric metrics currently available.</w:t>
            </w:r>
          </w:p>
        </w:tc>
        <w:tc>
          <w:tcPr>
            <w:tcW w:type="dxa" w:w="1944"/>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Not resolved; evaluation plan is established.</w:t>
            </w:r>
          </w:p>
        </w:tc>
      </w:tr>
      <w:tr>
        <w:tc>
          <w:tcPr>
            <w:tcW w:type="dxa" w:w="1944"/>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Limited context-aware analysis</w:t>
            </w:r>
          </w:p>
        </w:tc>
        <w:tc>
          <w:tcPr>
            <w:tcW w:type="dxa" w:w="3024"/>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Current appliance metadata and windowed usage only.</w:t>
            </w:r>
          </w:p>
        </w:tc>
        <w:tc>
          <w:tcPr>
            <w:tcW w:type="dxa" w:w="2520"/>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No occupancy, weather, schedule, or environmental features implemented.</w:t>
            </w:r>
          </w:p>
        </w:tc>
        <w:tc>
          <w:tcPr>
            <w:tcW w:type="dxa" w:w="1944"/>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Not resolved; retained as limitation/future work.</w:t>
            </w:r>
          </w:p>
        </w:tc>
      </w:tr>
      <w:tr>
        <w:tc>
          <w:tcPr>
            <w:tcW w:type="dxa" w:w="1944"/>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Insufficient resilience validation</w:t>
            </w:r>
          </w:p>
        </w:tc>
        <w:tc>
          <w:tcPr>
            <w:tcW w:type="dxa" w:w="3024"/>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Service separation and asynchronous messaging provide a design basis.</w:t>
            </w:r>
          </w:p>
        </w:tc>
        <w:tc>
          <w:tcPr>
            <w:tcW w:type="dxa" w:w="2520"/>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No fault-injection or load-test result available.</w:t>
            </w:r>
          </w:p>
        </w:tc>
        <w:tc>
          <w:tcPr>
            <w:tcW w:type="dxa" w:w="1944"/>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Not empirically resolved.</w:t>
            </w:r>
          </w:p>
        </w:tc>
      </w:tr>
      <w:tr>
        <w:tc>
          <w:tcPr>
            <w:tcW w:type="dxa" w:w="1944"/>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Privacy-preserving AI and secure access</w:t>
            </w:r>
          </w:p>
        </w:tc>
        <w:tc>
          <w:tcPr>
            <w:tcW w:type="dxa" w:w="3024"/>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Optional local Ollama wording is present.</w:t>
            </w:r>
          </w:p>
        </w:tc>
        <w:tc>
          <w:tcPr>
            <w:tcW w:type="dxa" w:w="2520"/>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Keycloak/JWT and ownership enforcement are not evidenced in the current codebase.</w:t>
            </w:r>
          </w:p>
        </w:tc>
        <w:tc>
          <w:tcPr>
            <w:tcW w:type="dxa" w:w="1944"/>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Not resolved; security implementation is future work.</w:t>
            </w:r>
          </w:p>
        </w:tc>
      </w:tr>
    </w:tbl>
    <w:p>
      <w:pPr>
        <w:spacing w:after="20"/>
      </w:pPr>
    </w:p>
    <w:p>
      <w:pPr>
        <w:pStyle w:val="Heading2"/>
        <w:keepNext/>
        <w:widowControl/>
        <w:spacing w:before="160" w:after="100"/>
      </w:pPr>
      <w:r>
        <w:rPr>
          <w:rFonts w:ascii="Times New Roman" w:hAnsi="Times New Roman" w:eastAsia="Times New Roman"/>
          <w:b/>
          <w:i w:val="0"/>
          <w:color w:val="000000"/>
          <w:sz w:val="24"/>
        </w:rPr>
        <w:t>6.4 Limitations</w:t>
      </w:r>
    </w:p>
    <w:p>
      <w:pPr>
        <w:pStyle w:val="ListBullet"/>
        <w:widowControl/>
        <w:spacing w:after="40" w:line="252" w:lineRule="auto"/>
      </w:pPr>
      <w:r>
        <w:rPr>
          <w:rFonts w:ascii="Times New Roman" w:hAnsi="Times New Roman" w:eastAsia="Times New Roman"/>
          <w:b w:val="0"/>
          <w:i w:val="0"/>
          <w:color w:val="000000"/>
          <w:sz w:val="22"/>
        </w:rPr>
        <w:t>The current input is a Wokwi-generated synthetic telemetry stream; it is not a calibrated physical smart-meter dataset.</w:t>
      </w:r>
    </w:p>
    <w:p>
      <w:pPr>
        <w:pStyle w:val="ListBullet"/>
        <w:widowControl/>
        <w:spacing w:after="40" w:line="252" w:lineRule="auto"/>
      </w:pPr>
      <w:r>
        <w:rPr>
          <w:rFonts w:ascii="Times New Roman" w:hAnsi="Times New Roman" w:eastAsia="Times New Roman"/>
          <w:b w:val="0"/>
          <w:i w:val="0"/>
          <w:color w:val="000000"/>
          <w:sz w:val="22"/>
        </w:rPr>
        <w:t>The reported energyConsumed values are scenario inputs sent at an 8 s interval. Their numeric cost outputs must not be interpreted as a real household bill without calibrated interval-energy measurements.</w:t>
      </w:r>
    </w:p>
    <w:p>
      <w:pPr>
        <w:pStyle w:val="ListBullet"/>
        <w:widowControl/>
        <w:spacing w:after="40" w:line="252" w:lineRule="auto"/>
      </w:pPr>
      <w:r>
        <w:rPr>
          <w:rFonts w:ascii="Times New Roman" w:hAnsi="Times New Roman" w:eastAsia="Times New Roman"/>
          <w:b w:val="0"/>
          <w:i w:val="0"/>
          <w:color w:val="000000"/>
          <w:sz w:val="22"/>
        </w:rPr>
        <w:t>No external benchmark dataset, record count, labelled anomaly set, train/test split, or ground-truth reference is available for empirical evaluation.</w:t>
      </w:r>
    </w:p>
    <w:p>
      <w:pPr>
        <w:pStyle w:val="ListBullet"/>
        <w:widowControl/>
        <w:spacing w:after="40" w:line="252" w:lineRule="auto"/>
      </w:pPr>
      <w:r>
        <w:rPr>
          <w:rFonts w:ascii="Times New Roman" w:hAnsi="Times New Roman" w:eastAsia="Times New Roman"/>
          <w:b w:val="0"/>
          <w:i w:val="0"/>
          <w:color w:val="000000"/>
          <w:sz w:val="22"/>
        </w:rPr>
        <w:t>The standby estimate is a fixed 20% average-load heuristic and does not identify actual low-activity periods or exact responsible appliances.</w:t>
      </w:r>
    </w:p>
    <w:p>
      <w:pPr>
        <w:pStyle w:val="ListBullet"/>
        <w:widowControl/>
        <w:spacing w:after="40" w:line="252" w:lineRule="auto"/>
      </w:pPr>
      <w:r>
        <w:rPr>
          <w:rFonts w:ascii="Times New Roman" w:hAnsi="Times New Roman" w:eastAsia="Times New Roman"/>
          <w:b w:val="0"/>
          <w:i w:val="0"/>
          <w:color w:val="000000"/>
          <w:sz w:val="22"/>
        </w:rPr>
        <w:t>The alert scheduler can publish repeated breach events because the current implementation has no alert-deduplication window.</w:t>
      </w:r>
    </w:p>
    <w:p>
      <w:pPr>
        <w:pStyle w:val="ListBullet"/>
        <w:widowControl/>
        <w:spacing w:after="40" w:line="252" w:lineRule="auto"/>
      </w:pPr>
      <w:r>
        <w:rPr>
          <w:rFonts w:ascii="Times New Roman" w:hAnsi="Times New Roman" w:eastAsia="Times New Roman"/>
          <w:b w:val="0"/>
          <w:i w:val="0"/>
          <w:color w:val="000000"/>
          <w:sz w:val="22"/>
        </w:rPr>
        <w:t>The project currently has no evidenced Keycloak/JWT authentication, device ownership enforcement, physical sensor calibration, cloud TLS verification, fault injection, or multi-node Kafka resilience validation.</w:t>
      </w:r>
    </w:p>
    <w:p>
      <w:pPr>
        <w:pStyle w:val="ListBullet"/>
        <w:widowControl/>
        <w:spacing w:after="40" w:line="252" w:lineRule="auto"/>
      </w:pPr>
      <w:r>
        <w:rPr>
          <w:rFonts w:ascii="Times New Roman" w:hAnsi="Times New Roman" w:eastAsia="Times New Roman"/>
          <w:b w:val="0"/>
          <w:i w:val="0"/>
          <w:color w:val="000000"/>
          <w:sz w:val="22"/>
        </w:rPr>
        <w:t>The optional Ollama component affects recommendation wording only and has not been evaluated as an anomaly-detection or forecasting model.</w:t>
      </w:r>
    </w:p>
    <w:p>
      <w:pPr>
        <w:pStyle w:val="ListBullet"/>
        <w:widowControl/>
        <w:spacing w:after="40" w:line="252" w:lineRule="auto"/>
      </w:pPr>
      <w:r>
        <w:rPr>
          <w:rFonts w:ascii="Times New Roman" w:hAnsi="Times New Roman" w:eastAsia="Times New Roman"/>
          <w:b w:val="0"/>
          <w:i w:val="0"/>
          <w:color w:val="000000"/>
          <w:sz w:val="22"/>
        </w:rPr>
        <w:t>The dashboard's illustrative client-side 7-day chart is not evidence of backend historical data and should not be used as a research result figure.</w:t>
      </w:r>
    </w:p>
    <w:p>
      <w:pPr>
        <w:pStyle w:val="Heading2"/>
        <w:keepNext/>
        <w:widowControl/>
        <w:spacing w:before="160" w:after="100"/>
      </w:pPr>
      <w:r>
        <w:rPr>
          <w:rFonts w:ascii="Times New Roman" w:hAnsi="Times New Roman" w:eastAsia="Times New Roman"/>
          <w:b/>
          <w:i w:val="0"/>
          <w:color w:val="000000"/>
          <w:sz w:val="24"/>
        </w:rPr>
        <w:t>6.5 Future Scope</w:t>
      </w:r>
    </w:p>
    <w:p>
      <w:pPr>
        <w:pStyle w:val="ListBullet"/>
        <w:widowControl/>
        <w:spacing w:after="40" w:line="252" w:lineRule="auto"/>
      </w:pPr>
      <w:r>
        <w:rPr>
          <w:rFonts w:ascii="Times New Roman" w:hAnsi="Times New Roman" w:eastAsia="Times New Roman"/>
          <w:b w:val="0"/>
          <w:i w:val="0"/>
          <w:color w:val="000000"/>
          <w:sz w:val="22"/>
        </w:rPr>
        <w:t>Integrate calibrated physical sensing hardware and convert sampled power into validated interval energy before ingestion.</w:t>
      </w:r>
    </w:p>
    <w:p>
      <w:pPr>
        <w:pStyle w:val="ListBullet"/>
        <w:widowControl/>
        <w:spacing w:after="40" w:line="252" w:lineRule="auto"/>
      </w:pPr>
      <w:r>
        <w:rPr>
          <w:rFonts w:ascii="Times New Roman" w:hAnsi="Times New Roman" w:eastAsia="Times New Roman"/>
          <w:b w:val="0"/>
          <w:i w:val="0"/>
          <w:color w:val="000000"/>
          <w:sz w:val="22"/>
        </w:rPr>
        <w:t>Collect a sufficiently long, consented household telemetry dataset with record counts, sampling interval, appliance metadata, and ground-truth labels where applicable.</w:t>
      </w:r>
    </w:p>
    <w:p>
      <w:pPr>
        <w:pStyle w:val="ListBullet"/>
        <w:widowControl/>
        <w:spacing w:after="40" w:line="252" w:lineRule="auto"/>
      </w:pPr>
      <w:r>
        <w:rPr>
          <w:rFonts w:ascii="Times New Roman" w:hAnsi="Times New Roman" w:eastAsia="Times New Roman"/>
          <w:b w:val="0"/>
          <w:i w:val="0"/>
          <w:color w:val="000000"/>
          <w:sz w:val="22"/>
        </w:rPr>
        <w:t>Validate the forecast against matched utility-bill or meter readings and report MAE/MAPE with documented tariff assumptions.</w:t>
      </w:r>
    </w:p>
    <w:p>
      <w:pPr>
        <w:pStyle w:val="ListBullet"/>
        <w:widowControl/>
        <w:spacing w:after="40" w:line="252" w:lineRule="auto"/>
      </w:pPr>
      <w:r>
        <w:rPr>
          <w:rFonts w:ascii="Times New Roman" w:hAnsi="Times New Roman" w:eastAsia="Times New Roman"/>
          <w:b w:val="0"/>
          <w:i w:val="0"/>
          <w:color w:val="000000"/>
          <w:sz w:val="22"/>
        </w:rPr>
        <w:t>Replace the fixed standby coefficient with time-of-day, occupancy-aware, or labelled appliance-level analysis after appropriate data collection.</w:t>
      </w:r>
    </w:p>
    <w:p>
      <w:pPr>
        <w:pStyle w:val="ListBullet"/>
        <w:widowControl/>
        <w:spacing w:after="40" w:line="252" w:lineRule="auto"/>
      </w:pPr>
      <w:r>
        <w:rPr>
          <w:rFonts w:ascii="Times New Roman" w:hAnsi="Times New Roman" w:eastAsia="Times New Roman"/>
          <w:b w:val="0"/>
          <w:i w:val="0"/>
          <w:color w:val="000000"/>
          <w:sz w:val="22"/>
        </w:rPr>
        <w:t>Implement secure authentication, authorization, device provisioning, and ownership checks before a multi-user deployment.</w:t>
      </w:r>
    </w:p>
    <w:p>
      <w:pPr>
        <w:pStyle w:val="ListBullet"/>
        <w:widowControl/>
        <w:spacing w:after="40" w:line="252" w:lineRule="auto"/>
      </w:pPr>
      <w:r>
        <w:rPr>
          <w:rFonts w:ascii="Times New Roman" w:hAnsi="Times New Roman" w:eastAsia="Times New Roman"/>
          <w:b w:val="0"/>
          <w:i w:val="0"/>
          <w:color w:val="000000"/>
          <w:sz w:val="22"/>
        </w:rPr>
        <w:t>Add idempotency, retry/DLQ handling, alert deduplication, load testing, fault injection, and observability before claiming resilience or production readiness.</w:t>
      </w:r>
    </w:p>
    <w:p>
      <w:pPr>
        <w:pStyle w:val="ListBullet"/>
        <w:widowControl/>
        <w:spacing w:after="40" w:line="252" w:lineRule="auto"/>
      </w:pPr>
      <w:r>
        <w:rPr>
          <w:rFonts w:ascii="Times New Roman" w:hAnsi="Times New Roman" w:eastAsia="Times New Roman"/>
          <w:b w:val="0"/>
          <w:i w:val="0"/>
          <w:color w:val="000000"/>
          <w:sz w:val="22"/>
        </w:rPr>
        <w:t>Evaluate an explicitly selected anomaly-detection model only after obtaining an appropriate labelled dataset and a reproducible baseline.</w:t>
      </w:r>
    </w:p>
    <w:p>
      <w:pPr>
        <w:pStyle w:val="Heading1"/>
        <w:keepNext/>
        <w:widowControl/>
        <w:spacing w:before="220" w:after="100"/>
      </w:pPr>
      <w:r>
        <w:rPr>
          <w:rFonts w:ascii="Times New Roman" w:hAnsi="Times New Roman" w:eastAsia="Times New Roman"/>
          <w:b/>
          <w:i w:val="0"/>
          <w:color w:val="000000"/>
          <w:sz w:val="28"/>
        </w:rPr>
        <w:t>APPENDIX A. REVIEW-2 FIGURE AND TABLE PLAN</w:t>
      </w:r>
    </w:p>
    <w:p>
      <w:pPr>
        <w:widowControl/>
        <w:spacing w:after="120" w:before="60" w:line="240" w:lineRule="auto"/>
        <w:jc w:val="center"/>
      </w:pPr>
      <w:r>
        <w:rPr>
          <w:rFonts w:ascii="Times New Roman" w:hAnsi="Times New Roman" w:eastAsia="Times New Roman"/>
          <w:b w:val="0"/>
          <w:i/>
          <w:color w:val="000000"/>
          <w:sz w:val="21"/>
        </w:rPr>
        <w:t>Table 11. Recommended figures and their placement in the Review-2 paper.</w:t>
      </w:r>
    </w:p>
    <w:tbl>
      <w:tblPr>
        <w:tblStyle w:val="TableGrid"/>
        <w:tblW w:type="auto" w:w="0"/>
        <w:jc w:val="center"/>
        <w:tblLayout w:type="autofit"/>
        <w:tblLook w:firstColumn="1" w:firstRow="1" w:lastColumn="0" w:lastRow="0" w:noHBand="0" w:noVBand="1" w:val="04A0"/>
      </w:tblPr>
      <w:tblGrid>
        <w:gridCol w:w="2521"/>
        <w:gridCol w:w="2521"/>
        <w:gridCol w:w="2521"/>
        <w:gridCol w:w="2521"/>
      </w:tblGrid>
      <w:tr>
        <w:trPr>
          <w:tblHeader w:val="true"/>
          <w:tblHeader w:val="true"/>
        </w:trPr>
        <w:tc>
          <w:tcPr>
            <w:tcW w:type="dxa" w:w="1008"/>
            <w:vAlign w:val="center"/>
            <w:shd w:fill="D9E2F3"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center"/>
            </w:pPr>
            <w:r>
              <w:rPr>
                <w:rFonts w:ascii="Times New Roman" w:hAnsi="Times New Roman" w:eastAsia="Times New Roman"/>
                <w:b/>
                <w:color w:val="000000"/>
                <w:sz w:val="20"/>
              </w:rPr>
            </w:r>
            <w:r>
              <w:rPr>
                <w:rFonts w:ascii="Times New Roman" w:hAnsi="Times New Roman" w:eastAsia="Times New Roman"/>
                <w:b/>
                <w:i w:val="0"/>
                <w:color w:val="000000"/>
                <w:sz w:val="20"/>
              </w:rPr>
              <w:t>Figure</w:t>
            </w:r>
          </w:p>
        </w:tc>
        <w:tc>
          <w:tcPr>
            <w:tcW w:type="dxa" w:w="2304"/>
            <w:vAlign w:val="center"/>
            <w:shd w:fill="D9E2F3"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center"/>
            </w:pPr>
            <w:r>
              <w:rPr>
                <w:rFonts w:ascii="Times New Roman" w:hAnsi="Times New Roman" w:eastAsia="Times New Roman"/>
                <w:b/>
                <w:color w:val="000000"/>
                <w:sz w:val="20"/>
              </w:rPr>
            </w:r>
            <w:r>
              <w:rPr>
                <w:rFonts w:ascii="Times New Roman" w:hAnsi="Times New Roman" w:eastAsia="Times New Roman"/>
                <w:b/>
                <w:i w:val="0"/>
                <w:color w:val="000000"/>
                <w:sz w:val="20"/>
              </w:rPr>
              <w:t>Title</w:t>
            </w:r>
          </w:p>
        </w:tc>
        <w:tc>
          <w:tcPr>
            <w:tcW w:type="dxa" w:w="4608"/>
            <w:vAlign w:val="center"/>
            <w:shd w:fill="D9E2F3"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center"/>
            </w:pPr>
            <w:r>
              <w:rPr>
                <w:rFonts w:ascii="Times New Roman" w:hAnsi="Times New Roman" w:eastAsia="Times New Roman"/>
                <w:b/>
                <w:color w:val="000000"/>
                <w:sz w:val="20"/>
              </w:rPr>
            </w:r>
            <w:r>
              <w:rPr>
                <w:rFonts w:ascii="Times New Roman" w:hAnsi="Times New Roman" w:eastAsia="Times New Roman"/>
                <w:b/>
                <w:i w:val="0"/>
                <w:color w:val="000000"/>
                <w:sz w:val="20"/>
              </w:rPr>
              <w:t>Purpose and contents</w:t>
            </w:r>
          </w:p>
        </w:tc>
        <w:tc>
          <w:tcPr>
            <w:tcW w:type="dxa" w:w="1440"/>
            <w:vAlign w:val="center"/>
            <w:shd w:fill="D9E2F3"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center"/>
            </w:pPr>
            <w:r>
              <w:rPr>
                <w:rFonts w:ascii="Times New Roman" w:hAnsi="Times New Roman" w:eastAsia="Times New Roman"/>
                <w:b/>
                <w:color w:val="000000"/>
                <w:sz w:val="20"/>
              </w:rPr>
            </w:r>
            <w:r>
              <w:rPr>
                <w:rFonts w:ascii="Times New Roman" w:hAnsi="Times New Roman" w:eastAsia="Times New Roman"/>
                <w:b/>
                <w:i w:val="0"/>
                <w:color w:val="000000"/>
                <w:sz w:val="20"/>
              </w:rPr>
              <w:t>Placement</w:t>
            </w:r>
          </w:p>
        </w:tc>
      </w:tr>
      <w:tr>
        <w:tc>
          <w:tcPr>
            <w:tcW w:type="dxa" w:w="1008"/>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Fig. 1</w:t>
            </w:r>
          </w:p>
        </w:tc>
        <w:tc>
          <w:tcPr>
            <w:tcW w:type="dxa" w:w="2304"/>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Proposed system architecture</w:t>
            </w:r>
          </w:p>
        </w:tc>
        <w:tc>
          <w:tcPr>
            <w:tcW w:type="dxa" w:w="4608"/>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Implemented input, event processing, data stores, analytics, alerting, and outputs.</w:t>
            </w:r>
          </w:p>
        </w:tc>
        <w:tc>
          <w:tcPr>
            <w:tcW w:type="dxa" w:w="1440"/>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Section 3.2.</w:t>
            </w:r>
          </w:p>
        </w:tc>
      </w:tr>
      <w:tr>
        <w:tc>
          <w:tcPr>
            <w:tcW w:type="dxa" w:w="1008"/>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Fig. 2</w:t>
            </w:r>
          </w:p>
        </w:tc>
        <w:tc>
          <w:tcPr>
            <w:tcW w:type="dxa" w:w="2304"/>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Workflow of the proposed system</w:t>
            </w:r>
          </w:p>
        </w:tc>
        <w:tc>
          <w:tcPr>
            <w:tcW w:type="dxa" w:w="4608"/>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Input -&gt; validation -&gt; Kafka -&gt; storage -&gt; analytics/alerting -&gt; evaluation -&gt; output.</w:t>
            </w:r>
          </w:p>
        </w:tc>
        <w:tc>
          <w:tcPr>
            <w:tcW w:type="dxa" w:w="1440"/>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Section 3.5.</w:t>
            </w:r>
          </w:p>
        </w:tc>
      </w:tr>
      <w:tr>
        <w:tc>
          <w:tcPr>
            <w:tcW w:type="dxa" w:w="1008"/>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Fig. 3</w:t>
            </w:r>
          </w:p>
        </w:tc>
        <w:tc>
          <w:tcPr>
            <w:tcW w:type="dxa" w:w="2304"/>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Detailed telemetry evidence</w:t>
            </w:r>
          </w:p>
        </w:tc>
        <w:tc>
          <w:tcPr>
            <w:tcW w:type="dxa" w:w="4608"/>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[TO BE PROVIDED: one annotated capture showing Wokwi JSON, HTTP 201, and matching Kafka/usage evidence].</w:t>
            </w:r>
          </w:p>
        </w:tc>
        <w:tc>
          <w:tcPr>
            <w:tcW w:type="dxa" w:w="1440"/>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Section 5.1.</w:t>
            </w:r>
          </w:p>
        </w:tc>
      </w:tr>
      <w:tr>
        <w:tc>
          <w:tcPr>
            <w:tcW w:type="dxa" w:w="1008"/>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Fig. 4</w:t>
            </w:r>
          </w:p>
        </w:tc>
        <w:tc>
          <w:tcPr>
            <w:tcW w:type="dxa" w:w="2304"/>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Functional latency or throughput graph</w:t>
            </w:r>
          </w:p>
        </w:tc>
        <w:tc>
          <w:tcPr>
            <w:tcW w:type="dxa" w:w="4608"/>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[TO BE PROVIDED: plot derived from timestamped controlled runs].</w:t>
            </w:r>
          </w:p>
        </w:tc>
        <w:tc>
          <w:tcPr>
            <w:tcW w:type="dxa" w:w="1440"/>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Section 5.1 or 5.2.</w:t>
            </w:r>
          </w:p>
        </w:tc>
      </w:tr>
      <w:tr>
        <w:tc>
          <w:tcPr>
            <w:tcW w:type="dxa" w:w="1008"/>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Fig. 5</w:t>
            </w:r>
          </w:p>
        </w:tc>
        <w:tc>
          <w:tcPr>
            <w:tcW w:type="dxa" w:w="2304"/>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Forecast comparison graph</w:t>
            </w:r>
          </w:p>
        </w:tc>
        <w:tc>
          <w:tcPr>
            <w:tcW w:type="dxa" w:w="4608"/>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[TO BE PROVIDED: projected versus measured energy/cost after ground-truth data collection].</w:t>
            </w:r>
          </w:p>
        </w:tc>
        <w:tc>
          <w:tcPr>
            <w:tcW w:type="dxa" w:w="1440"/>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Section 5.1.</w:t>
            </w:r>
          </w:p>
        </w:tc>
      </w:tr>
      <w:tr>
        <w:tc>
          <w:tcPr>
            <w:tcW w:type="dxa" w:w="1008"/>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Fig. 6</w:t>
            </w:r>
          </w:p>
        </w:tc>
        <w:tc>
          <w:tcPr>
            <w:tcW w:type="dxa" w:w="2304"/>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Standby evaluation graph</w:t>
            </w:r>
          </w:p>
        </w:tc>
        <w:tc>
          <w:tcPr>
            <w:tcW w:type="dxa" w:w="4608"/>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[TO BE PROVIDED: heuristic estimate versus labelled/validated reference, if available].</w:t>
            </w:r>
          </w:p>
        </w:tc>
        <w:tc>
          <w:tcPr>
            <w:tcW w:type="dxa" w:w="1440"/>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Section 5.1.</w:t>
            </w:r>
          </w:p>
        </w:tc>
      </w:tr>
      <w:tr>
        <w:tc>
          <w:tcPr>
            <w:tcW w:type="dxa" w:w="1008"/>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Fig. 7</w:t>
            </w:r>
          </w:p>
        </w:tc>
        <w:tc>
          <w:tcPr>
            <w:tcW w:type="dxa" w:w="2304"/>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Confusion matrix</w:t>
            </w:r>
          </w:p>
        </w:tc>
        <w:tc>
          <w:tcPr>
            <w:tcW w:type="dxa" w:w="4608"/>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Include only if a labelled anomaly classifier is implemented and evaluated.</w:t>
            </w:r>
          </w:p>
        </w:tc>
        <w:tc>
          <w:tcPr>
            <w:tcW w:type="dxa" w:w="1440"/>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Section 5.1; otherwise omit.</w:t>
            </w:r>
          </w:p>
        </w:tc>
      </w:tr>
    </w:tbl>
    <w:p>
      <w:pPr>
        <w:spacing w:after="20"/>
      </w:pPr>
    </w:p>
    <w:p>
      <w:pPr>
        <w:widowControl/>
        <w:spacing w:after="120" w:before="60" w:line="240" w:lineRule="auto"/>
        <w:jc w:val="center"/>
      </w:pPr>
      <w:r>
        <w:rPr>
          <w:rFonts w:ascii="Times New Roman" w:hAnsi="Times New Roman" w:eastAsia="Times New Roman"/>
          <w:b w:val="0"/>
          <w:i/>
          <w:color w:val="000000"/>
          <w:sz w:val="21"/>
        </w:rPr>
        <w:t>Table 12. Recommended tables and their placement in the Review-2 paper.</w:t>
      </w:r>
    </w:p>
    <w:tbl>
      <w:tblPr>
        <w:tblStyle w:val="TableGrid"/>
        <w:tblW w:type="auto" w:w="0"/>
        <w:jc w:val="center"/>
        <w:tblLayout w:type="autofit"/>
        <w:tblLook w:firstColumn="1" w:firstRow="1" w:lastColumn="0" w:lastRow="0" w:noHBand="0" w:noVBand="1" w:val="04A0"/>
      </w:tblPr>
      <w:tblGrid>
        <w:gridCol w:w="3362"/>
        <w:gridCol w:w="3362"/>
        <w:gridCol w:w="3362"/>
      </w:tblGrid>
      <w:tr>
        <w:trPr>
          <w:tblHeader w:val="true"/>
          <w:tblHeader w:val="true"/>
        </w:trPr>
        <w:tc>
          <w:tcPr>
            <w:tcW w:type="dxa" w:w="1440"/>
            <w:vAlign w:val="center"/>
            <w:shd w:fill="D9E2F3"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center"/>
            </w:pPr>
            <w:r>
              <w:rPr>
                <w:rFonts w:ascii="Times New Roman" w:hAnsi="Times New Roman" w:eastAsia="Times New Roman"/>
                <w:b/>
                <w:color w:val="000000"/>
                <w:sz w:val="20"/>
              </w:rPr>
            </w:r>
            <w:r>
              <w:rPr>
                <w:rFonts w:ascii="Times New Roman" w:hAnsi="Times New Roman" w:eastAsia="Times New Roman"/>
                <w:b/>
                <w:i w:val="0"/>
                <w:color w:val="000000"/>
                <w:sz w:val="20"/>
              </w:rPr>
              <w:t>Table</w:t>
            </w:r>
          </w:p>
        </w:tc>
        <w:tc>
          <w:tcPr>
            <w:tcW w:type="dxa" w:w="5472"/>
            <w:vAlign w:val="center"/>
            <w:shd w:fill="D9E2F3"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center"/>
            </w:pPr>
            <w:r>
              <w:rPr>
                <w:rFonts w:ascii="Times New Roman" w:hAnsi="Times New Roman" w:eastAsia="Times New Roman"/>
                <w:b/>
                <w:color w:val="000000"/>
                <w:sz w:val="20"/>
              </w:rPr>
            </w:r>
            <w:r>
              <w:rPr>
                <w:rFonts w:ascii="Times New Roman" w:hAnsi="Times New Roman" w:eastAsia="Times New Roman"/>
                <w:b/>
                <w:i w:val="0"/>
                <w:color w:val="000000"/>
                <w:sz w:val="20"/>
              </w:rPr>
              <w:t>Title</w:t>
            </w:r>
          </w:p>
        </w:tc>
        <w:tc>
          <w:tcPr>
            <w:tcW w:type="dxa" w:w="2448"/>
            <w:vAlign w:val="center"/>
            <w:shd w:fill="D9E2F3"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center"/>
            </w:pPr>
            <w:r>
              <w:rPr>
                <w:rFonts w:ascii="Times New Roman" w:hAnsi="Times New Roman" w:eastAsia="Times New Roman"/>
                <w:b/>
                <w:color w:val="000000"/>
                <w:sz w:val="20"/>
              </w:rPr>
            </w:r>
            <w:r>
              <w:rPr>
                <w:rFonts w:ascii="Times New Roman" w:hAnsi="Times New Roman" w:eastAsia="Times New Roman"/>
                <w:b/>
                <w:i w:val="0"/>
                <w:color w:val="000000"/>
                <w:sz w:val="20"/>
              </w:rPr>
              <w:t>Placement</w:t>
            </w:r>
          </w:p>
        </w:tc>
      </w:tr>
      <w:tr>
        <w:tc>
          <w:tcPr>
            <w:tcW w:type="dxa" w:w="1440"/>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Table 1</w:t>
            </w:r>
          </w:p>
        </w:tc>
        <w:tc>
          <w:tcPr>
            <w:tcW w:type="dxa" w:w="5472"/>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Detailed proposed approach and component interfaces</w:t>
            </w:r>
          </w:p>
        </w:tc>
        <w:tc>
          <w:tcPr>
            <w:tcW w:type="dxa" w:w="2448"/>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Section 3.3.</w:t>
            </w:r>
          </w:p>
        </w:tc>
      </w:tr>
      <w:tr>
        <w:tc>
          <w:tcPr>
            <w:tcW w:type="dxa" w:w="1440"/>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Table 2</w:t>
            </w:r>
          </w:p>
        </w:tc>
        <w:tc>
          <w:tcPr>
            <w:tcW w:type="dxa" w:w="5472"/>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Hardware requirements</w:t>
            </w:r>
          </w:p>
        </w:tc>
        <w:tc>
          <w:tcPr>
            <w:tcW w:type="dxa" w:w="2448"/>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Section 4.1.</w:t>
            </w:r>
          </w:p>
        </w:tc>
      </w:tr>
      <w:tr>
        <w:tc>
          <w:tcPr>
            <w:tcW w:type="dxa" w:w="1440"/>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Table 3</w:t>
            </w:r>
          </w:p>
        </w:tc>
        <w:tc>
          <w:tcPr>
            <w:tcW w:type="dxa" w:w="5472"/>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Software requirements</w:t>
            </w:r>
          </w:p>
        </w:tc>
        <w:tc>
          <w:tcPr>
            <w:tcW w:type="dxa" w:w="2448"/>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Section 4.2.</w:t>
            </w:r>
          </w:p>
        </w:tc>
      </w:tr>
      <w:tr>
        <w:tc>
          <w:tcPr>
            <w:tcW w:type="dxa" w:w="1440"/>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Table 4</w:t>
            </w:r>
          </w:p>
        </w:tc>
        <w:tc>
          <w:tcPr>
            <w:tcW w:type="dxa" w:w="5472"/>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Dataset summary</w:t>
            </w:r>
          </w:p>
        </w:tc>
        <w:tc>
          <w:tcPr>
            <w:tcW w:type="dxa" w:w="2448"/>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Section 4.3.</w:t>
            </w:r>
          </w:p>
        </w:tc>
      </w:tr>
      <w:tr>
        <w:tc>
          <w:tcPr>
            <w:tcW w:type="dxa" w:w="1440"/>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Table 5</w:t>
            </w:r>
          </w:p>
        </w:tc>
        <w:tc>
          <w:tcPr>
            <w:tcW w:type="dxa" w:w="5472"/>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Tools, technologies, and frameworks</w:t>
            </w:r>
          </w:p>
        </w:tc>
        <w:tc>
          <w:tcPr>
            <w:tcW w:type="dxa" w:w="2448"/>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Section 4.4.</w:t>
            </w:r>
          </w:p>
        </w:tc>
      </w:tr>
      <w:tr>
        <w:tc>
          <w:tcPr>
            <w:tcW w:type="dxa" w:w="1440"/>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Table 6</w:t>
            </w:r>
          </w:p>
        </w:tc>
        <w:tc>
          <w:tcPr>
            <w:tcW w:type="dxa" w:w="5472"/>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Experimental configuration</w:t>
            </w:r>
          </w:p>
        </w:tc>
        <w:tc>
          <w:tcPr>
            <w:tcW w:type="dxa" w:w="2448"/>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Section 4.6.</w:t>
            </w:r>
          </w:p>
        </w:tc>
      </w:tr>
      <w:tr>
        <w:tc>
          <w:tcPr>
            <w:tcW w:type="dxa" w:w="1440"/>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Table 7</w:t>
            </w:r>
          </w:p>
        </w:tc>
        <w:tc>
          <w:tcPr>
            <w:tcW w:type="dxa" w:w="5472"/>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Preliminary functional-results framework</w:t>
            </w:r>
          </w:p>
        </w:tc>
        <w:tc>
          <w:tcPr>
            <w:tcW w:type="dxa" w:w="2448"/>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Section 5.1.</w:t>
            </w:r>
          </w:p>
        </w:tc>
      </w:tr>
      <w:tr>
        <w:tc>
          <w:tcPr>
            <w:tcW w:type="dxa" w:w="1440"/>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Table 8</w:t>
            </w:r>
          </w:p>
        </w:tc>
        <w:tc>
          <w:tcPr>
            <w:tcW w:type="dxa" w:w="5472"/>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Performance metrics</w:t>
            </w:r>
          </w:p>
        </w:tc>
        <w:tc>
          <w:tcPr>
            <w:tcW w:type="dxa" w:w="2448"/>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Section 5.2.</w:t>
            </w:r>
          </w:p>
        </w:tc>
      </w:tr>
      <w:tr>
        <w:tc>
          <w:tcPr>
            <w:tcW w:type="dxa" w:w="1440"/>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Table 9</w:t>
            </w:r>
          </w:p>
        </w:tc>
        <w:tc>
          <w:tcPr>
            <w:tcW w:type="dxa" w:w="5472"/>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Comparison framework</w:t>
            </w:r>
          </w:p>
        </w:tc>
        <w:tc>
          <w:tcPr>
            <w:tcW w:type="dxa" w:w="2448"/>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Section 5.3.</w:t>
            </w:r>
          </w:p>
        </w:tc>
      </w:tr>
      <w:tr>
        <w:tc>
          <w:tcPr>
            <w:tcW w:type="dxa" w:w="1440"/>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Table 10</w:t>
            </w:r>
          </w:p>
        </w:tc>
        <w:tc>
          <w:tcPr>
            <w:tcW w:type="dxa" w:w="5472"/>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Research-gap alignment</w:t>
            </w:r>
          </w:p>
        </w:tc>
        <w:tc>
          <w:tcPr>
            <w:tcW w:type="dxa" w:w="2448"/>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Section 6.3.</w:t>
            </w:r>
          </w:p>
        </w:tc>
      </w:tr>
    </w:tbl>
    <w:p>
      <w:pPr>
        <w:spacing w:after="20"/>
      </w:pPr>
    </w:p>
    <w:p>
      <w:pPr>
        <w:pStyle w:val="Heading1"/>
        <w:keepNext/>
        <w:widowControl/>
        <w:spacing w:before="220" w:after="100"/>
      </w:pPr>
      <w:r>
        <w:rPr>
          <w:rFonts w:ascii="Times New Roman" w:hAnsi="Times New Roman" w:eastAsia="Times New Roman"/>
          <w:b/>
          <w:i w:val="0"/>
          <w:color w:val="000000"/>
          <w:sz w:val="28"/>
        </w:rPr>
        <w:t>APPENDIX B. REVIEW-2 COMPLETION CHECKLIST</w:t>
      </w:r>
    </w:p>
    <w:p>
      <w:pPr>
        <w:widowControl/>
        <w:spacing w:after="120" w:before="60" w:line="240" w:lineRule="auto"/>
        <w:jc w:val="center"/>
      </w:pPr>
      <w:r>
        <w:rPr>
          <w:rFonts w:ascii="Times New Roman" w:hAnsi="Times New Roman" w:eastAsia="Times New Roman"/>
          <w:b w:val="0"/>
          <w:i/>
          <w:color w:val="000000"/>
          <w:sz w:val="21"/>
        </w:rPr>
        <w:t>Table 13. Review-2 completion checklist.</w:t>
      </w:r>
    </w:p>
    <w:tbl>
      <w:tblPr>
        <w:tblStyle w:val="TableGrid"/>
        <w:tblW w:type="auto" w:w="0"/>
        <w:jc w:val="center"/>
        <w:tblLayout w:type="autofit"/>
        <w:tblLook w:firstColumn="1" w:firstRow="1" w:lastColumn="0" w:lastRow="0" w:noHBand="0" w:noVBand="1" w:val="04A0"/>
      </w:tblPr>
      <w:tblGrid>
        <w:gridCol w:w="3362"/>
        <w:gridCol w:w="3362"/>
        <w:gridCol w:w="3362"/>
      </w:tblGrid>
      <w:tr>
        <w:trPr>
          <w:tblHeader w:val="true"/>
          <w:tblHeader w:val="true"/>
        </w:trPr>
        <w:tc>
          <w:tcPr>
            <w:tcW w:type="dxa" w:w="2952"/>
            <w:vAlign w:val="center"/>
            <w:shd w:fill="D9E2F3"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center"/>
            </w:pPr>
            <w:r>
              <w:rPr>
                <w:rFonts w:ascii="Times New Roman" w:hAnsi="Times New Roman" w:eastAsia="Times New Roman"/>
                <w:b/>
                <w:color w:val="000000"/>
                <w:sz w:val="20"/>
              </w:rPr>
            </w:r>
            <w:r>
              <w:rPr>
                <w:rFonts w:ascii="Times New Roman" w:hAnsi="Times New Roman" w:eastAsia="Times New Roman"/>
                <w:b/>
                <w:i w:val="0"/>
                <w:color w:val="000000"/>
                <w:sz w:val="20"/>
              </w:rPr>
              <w:t>Item</w:t>
            </w:r>
          </w:p>
        </w:tc>
        <w:tc>
          <w:tcPr>
            <w:tcW w:type="dxa" w:w="1800"/>
            <w:vAlign w:val="center"/>
            <w:shd w:fill="D9E2F3"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center"/>
            </w:pPr>
            <w:r>
              <w:rPr>
                <w:rFonts w:ascii="Times New Roman" w:hAnsi="Times New Roman" w:eastAsia="Times New Roman"/>
                <w:b/>
                <w:color w:val="000000"/>
                <w:sz w:val="20"/>
              </w:rPr>
            </w:r>
            <w:r>
              <w:rPr>
                <w:rFonts w:ascii="Times New Roman" w:hAnsi="Times New Roman" w:eastAsia="Times New Roman"/>
                <w:b/>
                <w:i w:val="0"/>
                <w:color w:val="000000"/>
                <w:sz w:val="20"/>
              </w:rPr>
              <w:t>Status</w:t>
            </w:r>
          </w:p>
        </w:tc>
        <w:tc>
          <w:tcPr>
            <w:tcW w:type="dxa" w:w="4608"/>
            <w:vAlign w:val="center"/>
            <w:shd w:fill="D9E2F3"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center"/>
            </w:pPr>
            <w:r>
              <w:rPr>
                <w:rFonts w:ascii="Times New Roman" w:hAnsi="Times New Roman" w:eastAsia="Times New Roman"/>
                <w:b/>
                <w:color w:val="000000"/>
                <w:sz w:val="20"/>
              </w:rPr>
            </w:r>
            <w:r>
              <w:rPr>
                <w:rFonts w:ascii="Times New Roman" w:hAnsi="Times New Roman" w:eastAsia="Times New Roman"/>
                <w:b/>
                <w:i w:val="0"/>
                <w:color w:val="000000"/>
                <w:sz w:val="20"/>
              </w:rPr>
              <w:t>Notes</w:t>
            </w:r>
          </w:p>
        </w:tc>
      </w:tr>
      <w:tr>
        <w:tc>
          <w:tcPr>
            <w:tcW w:type="dxa" w:w="2952"/>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Methodology</w:t>
            </w:r>
          </w:p>
        </w:tc>
        <w:tc>
          <w:tcPr>
            <w:tcW w:type="dxa" w:w="1800"/>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Completed</w:t>
            </w:r>
          </w:p>
        </w:tc>
        <w:tc>
          <w:tcPr>
            <w:tcW w:type="dxa" w:w="4608"/>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Evidence-based Section 3.1.</w:t>
            </w:r>
          </w:p>
        </w:tc>
      </w:tr>
      <w:tr>
        <w:tc>
          <w:tcPr>
            <w:tcW w:type="dxa" w:w="2952"/>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System architecture</w:t>
            </w:r>
          </w:p>
        </w:tc>
        <w:tc>
          <w:tcPr>
            <w:tcW w:type="dxa" w:w="1800"/>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Completed</w:t>
            </w:r>
          </w:p>
        </w:tc>
        <w:tc>
          <w:tcPr>
            <w:tcW w:type="dxa" w:w="4608"/>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Fig. 1 uses implemented components only.</w:t>
            </w:r>
          </w:p>
        </w:tc>
      </w:tr>
      <w:tr>
        <w:tc>
          <w:tcPr>
            <w:tcW w:type="dxa" w:w="2952"/>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Methodology diagram</w:t>
            </w:r>
          </w:p>
        </w:tc>
        <w:tc>
          <w:tcPr>
            <w:tcW w:type="dxa" w:w="1800"/>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Completed</w:t>
            </w:r>
          </w:p>
        </w:tc>
        <w:tc>
          <w:tcPr>
            <w:tcW w:type="dxa" w:w="4608"/>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Fig. 1.</w:t>
            </w:r>
          </w:p>
        </w:tc>
      </w:tr>
      <w:tr>
        <w:tc>
          <w:tcPr>
            <w:tcW w:type="dxa" w:w="2952"/>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Detailed proposed approach</w:t>
            </w:r>
          </w:p>
        </w:tc>
        <w:tc>
          <w:tcPr>
            <w:tcW w:type="dxa" w:w="1800"/>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Completed</w:t>
            </w:r>
          </w:p>
        </w:tc>
        <w:tc>
          <w:tcPr>
            <w:tcW w:type="dxa" w:w="4608"/>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Section 3.3 and Table 1.</w:t>
            </w:r>
          </w:p>
        </w:tc>
      </w:tr>
      <w:tr>
        <w:tc>
          <w:tcPr>
            <w:tcW w:type="dxa" w:w="2952"/>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Algorithms and pseudocode</w:t>
            </w:r>
          </w:p>
        </w:tc>
        <w:tc>
          <w:tcPr>
            <w:tcW w:type="dxa" w:w="1800"/>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Completed</w:t>
            </w:r>
          </w:p>
        </w:tc>
        <w:tc>
          <w:tcPr>
            <w:tcW w:type="dxa" w:w="4608"/>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Section 3.4 and Algorithms 1-2.</w:t>
            </w:r>
          </w:p>
        </w:tc>
      </w:tr>
      <w:tr>
        <w:tc>
          <w:tcPr>
            <w:tcW w:type="dxa" w:w="2952"/>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Workflow diagram</w:t>
            </w:r>
          </w:p>
        </w:tc>
        <w:tc>
          <w:tcPr>
            <w:tcW w:type="dxa" w:w="1800"/>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Completed</w:t>
            </w:r>
          </w:p>
        </w:tc>
        <w:tc>
          <w:tcPr>
            <w:tcW w:type="dxa" w:w="4608"/>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Fig. 2.</w:t>
            </w:r>
          </w:p>
        </w:tc>
      </w:tr>
      <w:tr>
        <w:tc>
          <w:tcPr>
            <w:tcW w:type="dxa" w:w="2952"/>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Hardware requirements</w:t>
            </w:r>
          </w:p>
        </w:tc>
        <w:tc>
          <w:tcPr>
            <w:tcW w:type="dxa" w:w="1800"/>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Completed</w:t>
            </w:r>
          </w:p>
        </w:tc>
        <w:tc>
          <w:tcPr>
            <w:tcW w:type="dxa" w:w="4608"/>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Host specifications still [TO BE PROVIDED].</w:t>
            </w:r>
          </w:p>
        </w:tc>
      </w:tr>
      <w:tr>
        <w:tc>
          <w:tcPr>
            <w:tcW w:type="dxa" w:w="2952"/>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Software requirements</w:t>
            </w:r>
          </w:p>
        </w:tc>
        <w:tc>
          <w:tcPr>
            <w:tcW w:type="dxa" w:w="1800"/>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Completed</w:t>
            </w:r>
          </w:p>
        </w:tc>
        <w:tc>
          <w:tcPr>
            <w:tcW w:type="dxa" w:w="4608"/>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Run-time versions marked where unavailable.</w:t>
            </w:r>
          </w:p>
        </w:tc>
      </w:tr>
      <w:tr>
        <w:tc>
          <w:tcPr>
            <w:tcW w:type="dxa" w:w="2952"/>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Dataset description</w:t>
            </w:r>
          </w:p>
        </w:tc>
        <w:tc>
          <w:tcPr>
            <w:tcW w:type="dxa" w:w="1800"/>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Needs Information</w:t>
            </w:r>
          </w:p>
        </w:tc>
        <w:tc>
          <w:tcPr>
            <w:tcW w:type="dxa" w:w="4608"/>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Record count, duration, and ground truth are [TO BE PROVIDED].</w:t>
            </w:r>
          </w:p>
        </w:tc>
      </w:tr>
      <w:tr>
        <w:tc>
          <w:tcPr>
            <w:tcW w:type="dxa" w:w="2952"/>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Tools and technologies</w:t>
            </w:r>
          </w:p>
        </w:tc>
        <w:tc>
          <w:tcPr>
            <w:tcW w:type="dxa" w:w="1800"/>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Completed</w:t>
            </w:r>
          </w:p>
        </w:tc>
        <w:tc>
          <w:tcPr>
            <w:tcW w:type="dxa" w:w="4608"/>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Table 5.</w:t>
            </w:r>
          </w:p>
        </w:tc>
      </w:tr>
      <w:tr>
        <w:tc>
          <w:tcPr>
            <w:tcW w:type="dxa" w:w="2952"/>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Implementation procedure</w:t>
            </w:r>
          </w:p>
        </w:tc>
        <w:tc>
          <w:tcPr>
            <w:tcW w:type="dxa" w:w="1800"/>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Completed</w:t>
            </w:r>
          </w:p>
        </w:tc>
        <w:tc>
          <w:tcPr>
            <w:tcW w:type="dxa" w:w="4608"/>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Section 4.5.</w:t>
            </w:r>
          </w:p>
        </w:tc>
      </w:tr>
      <w:tr>
        <w:tc>
          <w:tcPr>
            <w:tcW w:type="dxa" w:w="2952"/>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Experimental setup</w:t>
            </w:r>
          </w:p>
        </w:tc>
        <w:tc>
          <w:tcPr>
            <w:tcW w:type="dxa" w:w="1800"/>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Needs Information</w:t>
            </w:r>
          </w:p>
        </w:tc>
        <w:tc>
          <w:tcPr>
            <w:tcW w:type="dxa" w:w="4608"/>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Host details and final test protocol required.</w:t>
            </w:r>
          </w:p>
        </w:tc>
      </w:tr>
      <w:tr>
        <w:tc>
          <w:tcPr>
            <w:tcW w:type="dxa" w:w="2952"/>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Results</w:t>
            </w:r>
          </w:p>
        </w:tc>
        <w:tc>
          <w:tcPr>
            <w:tcW w:type="dxa" w:w="1800"/>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Completed (functional scope)</w:t>
            </w:r>
          </w:p>
        </w:tc>
        <w:tc>
          <w:tcPr>
            <w:tcW w:type="dxa" w:w="4608"/>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One controlled end-to-end run and automated test outcomes are reported; empirical performance claims remain pending.</w:t>
            </w:r>
          </w:p>
        </w:tc>
      </w:tr>
      <w:tr>
        <w:tc>
          <w:tcPr>
            <w:tcW w:type="dxa" w:w="2952"/>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Performance metrics</w:t>
            </w:r>
          </w:p>
        </w:tc>
        <w:tc>
          <w:tcPr>
            <w:tcW w:type="dxa" w:w="1800"/>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Completed</w:t>
            </w:r>
          </w:p>
        </w:tc>
        <w:tc>
          <w:tcPr>
            <w:tcW w:type="dxa" w:w="4608"/>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Framework in Section 5.2; values pending.</w:t>
            </w:r>
          </w:p>
        </w:tc>
      </w:tr>
      <w:tr>
        <w:tc>
          <w:tcPr>
            <w:tcW w:type="dxa" w:w="2952"/>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Comparison table</w:t>
            </w:r>
          </w:p>
        </w:tc>
        <w:tc>
          <w:tcPr>
            <w:tcW w:type="dxa" w:w="1800"/>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Needs Information</w:t>
            </w:r>
          </w:p>
        </w:tc>
        <w:tc>
          <w:tcPr>
            <w:tcW w:type="dxa" w:w="4608"/>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Baseline methods and values pending.</w:t>
            </w:r>
          </w:p>
        </w:tc>
      </w:tr>
      <w:tr>
        <w:tc>
          <w:tcPr>
            <w:tcW w:type="dxa" w:w="2952"/>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Graphs and result figures</w:t>
            </w:r>
          </w:p>
        </w:tc>
        <w:tc>
          <w:tcPr>
            <w:tcW w:type="dxa" w:w="1800"/>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Needs Information</w:t>
            </w:r>
          </w:p>
        </w:tc>
        <w:tc>
          <w:tcPr>
            <w:tcW w:type="dxa" w:w="4608"/>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Fig. 3 onward require actual experiment data.</w:t>
            </w:r>
          </w:p>
        </w:tc>
      </w:tr>
      <w:tr>
        <w:tc>
          <w:tcPr>
            <w:tcW w:type="dxa" w:w="2952"/>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Discussion</w:t>
            </w:r>
          </w:p>
        </w:tc>
        <w:tc>
          <w:tcPr>
            <w:tcW w:type="dxa" w:w="1800"/>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Completed</w:t>
            </w:r>
          </w:p>
        </w:tc>
        <w:tc>
          <w:tcPr>
            <w:tcW w:type="dxa" w:w="4608"/>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Separates implementation facts, inference, and expected benefit.</w:t>
            </w:r>
          </w:p>
        </w:tc>
      </w:tr>
      <w:tr>
        <w:tc>
          <w:tcPr>
            <w:tcW w:type="dxa" w:w="2952"/>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Conclusion</w:t>
            </w:r>
          </w:p>
        </w:tc>
        <w:tc>
          <w:tcPr>
            <w:tcW w:type="dxa" w:w="1800"/>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Completed</w:t>
            </w:r>
          </w:p>
        </w:tc>
        <w:tc>
          <w:tcPr>
            <w:tcW w:type="dxa" w:w="4608"/>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Does not claim unmeasured performance.</w:t>
            </w:r>
          </w:p>
        </w:tc>
      </w:tr>
      <w:tr>
        <w:tc>
          <w:tcPr>
            <w:tcW w:type="dxa" w:w="2952"/>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Limitations</w:t>
            </w:r>
          </w:p>
        </w:tc>
        <w:tc>
          <w:tcPr>
            <w:tcW w:type="dxa" w:w="1800"/>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Completed</w:t>
            </w:r>
          </w:p>
        </w:tc>
        <w:tc>
          <w:tcPr>
            <w:tcW w:type="dxa" w:w="4608"/>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Matches the implemented scope.</w:t>
            </w:r>
          </w:p>
        </w:tc>
      </w:tr>
      <w:tr>
        <w:tc>
          <w:tcPr>
            <w:tcW w:type="dxa" w:w="2952"/>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Future scope</w:t>
            </w:r>
          </w:p>
        </w:tc>
        <w:tc>
          <w:tcPr>
            <w:tcW w:type="dxa" w:w="1800"/>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Completed</w:t>
            </w:r>
          </w:p>
        </w:tc>
        <w:tc>
          <w:tcPr>
            <w:tcW w:type="dxa" w:w="4608"/>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Derived from current limitations.</w:t>
            </w:r>
          </w:p>
        </w:tc>
      </w:tr>
      <w:tr>
        <w:tc>
          <w:tcPr>
            <w:tcW w:type="dxa" w:w="2952"/>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IEEE references</w:t>
            </w:r>
          </w:p>
        </w:tc>
        <w:tc>
          <w:tcPr>
            <w:tcW w:type="dxa" w:w="1800"/>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Needs Review</w:t>
            </w:r>
          </w:p>
        </w:tc>
        <w:tc>
          <w:tcPr>
            <w:tcW w:type="dxa" w:w="4608"/>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Existing references retained in research.docx; cross-check citations and formatting before final submission.</w:t>
            </w:r>
          </w:p>
        </w:tc>
      </w:tr>
      <w:tr>
        <w:tc>
          <w:tcPr>
            <w:tcW w:type="dxa" w:w="2952"/>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Figure captions</w:t>
            </w:r>
          </w:p>
        </w:tc>
        <w:tc>
          <w:tcPr>
            <w:tcW w:type="dxa" w:w="1800"/>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Completed</w:t>
            </w:r>
          </w:p>
        </w:tc>
        <w:tc>
          <w:tcPr>
            <w:tcW w:type="dxa" w:w="4608"/>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Figs. 1-2 included; future captions planned.</w:t>
            </w:r>
          </w:p>
        </w:tc>
      </w:tr>
      <w:tr>
        <w:tc>
          <w:tcPr>
            <w:tcW w:type="dxa" w:w="2952"/>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Table captions</w:t>
            </w:r>
          </w:p>
        </w:tc>
        <w:tc>
          <w:tcPr>
            <w:tcW w:type="dxa" w:w="1800"/>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Completed</w:t>
            </w:r>
          </w:p>
        </w:tc>
        <w:tc>
          <w:tcPr>
            <w:tcW w:type="dxa" w:w="4608"/>
            <w:vAlign w:val="center"/>
            <w:shd w:fill="FFFFFF"/>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Tables 1-13 captioned.</w:t>
            </w:r>
          </w:p>
        </w:tc>
      </w:tr>
      <w:tr>
        <w:tc>
          <w:tcPr>
            <w:tcW w:type="dxa" w:w="2952"/>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Overall consistency</w:t>
            </w:r>
          </w:p>
        </w:tc>
        <w:tc>
          <w:tcPr>
            <w:tcW w:type="dxa" w:w="1800"/>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Completed for Sections 3-6</w:t>
            </w:r>
          </w:p>
        </w:tc>
        <w:tc>
          <w:tcPr>
            <w:tcW w:type="dxa" w:w="4608"/>
            <w:vAlign w:val="center"/>
            <w:shd w:fill="F2F2F2" w:val="clear"/>
            <w:tcBorders>
              <w:top w:val="single" w:sz="4" w:space="0" w:color="000000"/>
              <w:left w:val="single" w:sz="4" w:space="0" w:color="000000"/>
              <w:bottom w:val="single" w:sz="4" w:space="0" w:color="000000"/>
              <w:right w:val="single" w:sz="4" w:space="0" w:color="000000"/>
              <w:insideH w:val="single" w:sz="6" w:space="0" w:color="D9D9D9"/>
              <w:insideV w:val="single" w:sz="6" w:space="0" w:color="D9D9D9"/>
            </w:tcBorders>
            <w:tcMar>
              <w:top w:w="100" w:type="dxa"/>
              <w:start w:w="100" w:type="dxa"/>
              <w:bottom w:w="100" w:type="dxa"/>
              <w:end w:w="100" w:type="dxa"/>
            </w:tcMar>
          </w:tcPr>
          <w:p>
            <w:pPr>
              <w:spacing w:after="40" w:line="240" w:lineRule="auto"/>
              <w:jc w:val="left"/>
            </w:pPr>
            <w:r>
              <w:rPr>
                <w:rFonts w:ascii="Times New Roman" w:hAnsi="Times New Roman" w:eastAsia="Times New Roman"/>
                <w:color w:val="000000"/>
                <w:sz w:val="20"/>
              </w:rPr>
            </w:r>
            <w:r>
              <w:rPr>
                <w:rFonts w:ascii="Times New Roman" w:hAnsi="Times New Roman" w:eastAsia="Times New Roman"/>
                <w:b w:val="0"/>
                <w:i w:val="0"/>
                <w:color w:val="000000"/>
                <w:sz w:val="20"/>
              </w:rPr>
              <w:t>The continuation limits claims to the implemented Wokwi/API/Kafka/InfluxDB/alert/deterministic-insight scope.</w:t>
            </w:r>
          </w:p>
        </w:tc>
      </w:tr>
    </w:tbl>
    <w:p>
      <w:pPr>
        <w:spacing w:after="20"/>
      </w:pPr>
    </w:p>
    <w:p>
      <w:r>
        <w:br w:type="page"/>
      </w:r>
    </w:p>
    <w:p>
      <w:pPr>
        <w:pStyle w:val="Heading1"/>
        <w:keepNext/>
        <w:widowControl/>
        <w:spacing w:before="220" w:after="100"/>
      </w:pPr>
      <w:r>
        <w:rPr>
          <w:rFonts w:ascii="Times New Roman" w:hAnsi="Times New Roman" w:eastAsia="Times New Roman"/>
          <w:b/>
          <w:i w:val="0"/>
          <w:color w:val="000000"/>
          <w:sz w:val="28"/>
        </w:rPr>
        <w:t>REFERENCES</w:t>
      </w:r>
    </w:p>
    <w:p>
      <w:pPr>
        <w:widowControl/>
        <w:spacing w:after="60" w:line="240" w:lineRule="auto"/>
        <w:ind w:left="312" w:hanging="312"/>
        <w:jc w:val="both"/>
      </w:pPr>
      <w:r>
        <w:rPr>
          <w:rFonts w:ascii="Times New Roman" w:hAnsi="Times New Roman" w:eastAsia="Times New Roman"/>
          <w:b w:val="0"/>
          <w:i w:val="0"/>
          <w:color w:val="000000"/>
          <w:sz w:val="22"/>
        </w:rPr>
        <w:t>[1] A. Shuaibu, S. U. Haq, B. Almadani, F. Aliyu, and E. Al-Nahari, "Smart Metering Meets AI: Real-Time Appliance Monitoring and Anomaly Detection Over DDS Middleware," IEEE Transactions on Industry Applications, 2026. doi: 10.1109/tia.2025.3608687.</w:t>
      </w:r>
    </w:p>
    <w:p>
      <w:pPr>
        <w:widowControl/>
        <w:spacing w:after="60" w:line="240" w:lineRule="auto"/>
        <w:ind w:left="312" w:hanging="312"/>
        <w:jc w:val="both"/>
      </w:pPr>
      <w:r>
        <w:rPr>
          <w:rFonts w:ascii="Times New Roman" w:hAnsi="Times New Roman" w:eastAsia="Times New Roman"/>
          <w:b w:val="0"/>
          <w:i w:val="0"/>
          <w:color w:val="000000"/>
          <w:sz w:val="22"/>
        </w:rPr>
        <w:t>[2] I. Núñez, C. A. Rovetto, E. Cruz, A. Smolarz, D. H. Concepción, and E. Cano, "Design of a microservices-based architecture for residential energy efficiency monitoring," International Journal of Electronics and Telecommunications, 2024. doi: 10.24425/ijet.2024.152511.</w:t>
      </w:r>
    </w:p>
    <w:p>
      <w:pPr>
        <w:widowControl/>
        <w:spacing w:after="60" w:line="240" w:lineRule="auto"/>
        <w:ind w:left="312" w:hanging="312"/>
        <w:jc w:val="both"/>
      </w:pPr>
      <w:r>
        <w:rPr>
          <w:rFonts w:ascii="Times New Roman" w:hAnsi="Times New Roman" w:eastAsia="Times New Roman"/>
          <w:b w:val="0"/>
          <w:i w:val="0"/>
          <w:color w:val="000000"/>
          <w:sz w:val="22"/>
        </w:rPr>
        <w:t>[3] W. Agustiarmi et al., "Real-Time IoT-based Energy Power Consumption Monitoring System for Smart Homes," International Journal on Advanced Science, Engineering and Information Technology, 2025. doi: 10.18517/ijaseit.15.5.20918.</w:t>
      </w:r>
    </w:p>
    <w:p>
      <w:pPr>
        <w:widowControl/>
        <w:spacing w:after="60" w:line="240" w:lineRule="auto"/>
        <w:ind w:left="312" w:hanging="312"/>
        <w:jc w:val="both"/>
      </w:pPr>
      <w:r>
        <w:rPr>
          <w:rFonts w:ascii="Times New Roman" w:hAnsi="Times New Roman" w:eastAsia="Times New Roman"/>
          <w:b w:val="0"/>
          <w:i w:val="0"/>
          <w:color w:val="000000"/>
          <w:sz w:val="22"/>
        </w:rPr>
        <w:t>[4] M. Islam, N. Jobaida, M. S. Hossain, M. R. Uddin, and M. Hasan, "IoT-Based Smart Energy Monitoring and Energy Demand Response System," 2024 IEEE 3rd International Conference on Electrical Power and Energy Systems (ICEPES), 2024. doi: 10.1109/icepes60647.2024.10653605.</w:t>
      </w:r>
    </w:p>
    <w:p>
      <w:pPr>
        <w:widowControl/>
        <w:spacing w:after="60" w:line="240" w:lineRule="auto"/>
        <w:ind w:left="312" w:hanging="312"/>
        <w:jc w:val="both"/>
      </w:pPr>
      <w:r>
        <w:rPr>
          <w:rFonts w:ascii="Times New Roman" w:hAnsi="Times New Roman" w:eastAsia="Times New Roman"/>
          <w:b w:val="0"/>
          <w:i w:val="0"/>
          <w:color w:val="000000"/>
          <w:sz w:val="22"/>
        </w:rPr>
        <w:t>[5] S. S. Shashank, Yogesh, M. Krishnamoorthy, N. Karuppiah, P. Mounica, and R. Abinaya, "Smart Energy Monitoring for Real-Time Power Consumption Tracking and Optimization Using an IoT-Based Cost-Effective System," 2025 11th International Conference on Electrical Energy Systems (ICEES), 2025. doi: 10.1109/icees67011.2025.11212888.</w:t>
      </w:r>
    </w:p>
    <w:p>
      <w:pPr>
        <w:widowControl/>
        <w:spacing w:after="60" w:line="240" w:lineRule="auto"/>
        <w:ind w:left="312" w:hanging="312"/>
        <w:jc w:val="both"/>
      </w:pPr>
      <w:r>
        <w:rPr>
          <w:rFonts w:ascii="Times New Roman" w:hAnsi="Times New Roman" w:eastAsia="Times New Roman"/>
          <w:b w:val="0"/>
          <w:i w:val="0"/>
          <w:color w:val="000000"/>
          <w:sz w:val="22"/>
        </w:rPr>
        <w:t>[6] T. B. D. Sousa, and R. Rabelo, "Smart Metering Enabled by the Internet of Things for Monitoring Residential Energy Consumption and Power Quality," IEEE Access, 2025. doi: 10.1109/access.2025.3627191.</w:t>
      </w:r>
    </w:p>
    <w:p>
      <w:pPr>
        <w:widowControl/>
        <w:spacing w:after="60" w:line="240" w:lineRule="auto"/>
        <w:ind w:left="312" w:hanging="312"/>
        <w:jc w:val="both"/>
      </w:pPr>
      <w:r>
        <w:rPr>
          <w:rFonts w:ascii="Times New Roman" w:hAnsi="Times New Roman" w:eastAsia="Times New Roman"/>
          <w:b w:val="0"/>
          <w:i w:val="0"/>
          <w:color w:val="000000"/>
          <w:sz w:val="22"/>
        </w:rPr>
        <w:t>[7] B. Jyothi et al., "Empowering energy management: anomaly detection in smart meter data for proactive consumption control," Bulletin of Electrical Engineering and Informatics, 2026. doi: 10.11591/eei.v15i3.10957.</w:t>
      </w:r>
    </w:p>
    <w:p>
      <w:pPr>
        <w:widowControl/>
        <w:spacing w:after="60" w:line="240" w:lineRule="auto"/>
        <w:ind w:left="312" w:hanging="312"/>
        <w:jc w:val="both"/>
      </w:pPr>
      <w:r>
        <w:rPr>
          <w:rFonts w:ascii="Times New Roman" w:hAnsi="Times New Roman" w:eastAsia="Times New Roman"/>
          <w:b w:val="0"/>
          <w:i w:val="0"/>
          <w:color w:val="000000"/>
          <w:sz w:val="22"/>
        </w:rPr>
        <w:t>[8] K. Kulkarni, "Anomaly Detection in Smart Electric Meters for Detecting Faults and Misuse of Electric Energy Consumption," INTERANTIONAL JOURNAL OF SCIENTIFIC RESEARCH IN ENGINEERING AND MANAGEMENT, 2024. doi: 10.55041/ijsrem34689.</w:t>
      </w:r>
    </w:p>
    <w:p>
      <w:pPr>
        <w:widowControl/>
        <w:spacing w:after="60" w:line="240" w:lineRule="auto"/>
        <w:ind w:left="312" w:hanging="312"/>
        <w:jc w:val="both"/>
      </w:pPr>
      <w:r>
        <w:rPr>
          <w:rFonts w:ascii="Times New Roman" w:hAnsi="Times New Roman" w:eastAsia="Times New Roman"/>
          <w:b w:val="0"/>
          <w:i w:val="0"/>
          <w:color w:val="000000"/>
          <w:sz w:val="22"/>
        </w:rPr>
        <w:t>[9] M. AbuArqoub, A. A. Titinchi, and R. Marie, "A Scalable IoT–AI Framework for Real-Time Energy Anomaly Detection in Smart Grid Networks," 2026 2nd International Conference on Computational Intelligence Approaches and Applications (ICCIAA), 2026. doi: 10.1109/icciaa68481.2026.11543846.</w:t>
      </w:r>
    </w:p>
    <w:p>
      <w:pPr>
        <w:widowControl/>
        <w:spacing w:after="60" w:line="240" w:lineRule="auto"/>
        <w:ind w:left="312" w:hanging="312"/>
        <w:jc w:val="both"/>
      </w:pPr>
      <w:r>
        <w:rPr>
          <w:rFonts w:ascii="Times New Roman" w:hAnsi="Times New Roman" w:eastAsia="Times New Roman"/>
          <w:b w:val="0"/>
          <w:i w:val="0"/>
          <w:color w:val="000000"/>
          <w:sz w:val="22"/>
        </w:rPr>
        <w:t>[10] Á. Hernández et al., "Detection of Anomalies in Daily Activities Using Data from Smart Meters," Sensors (Basel, Switzerland), 2024. doi: 10.3390/s24020515.</w:t>
      </w:r>
    </w:p>
    <w:p>
      <w:pPr>
        <w:widowControl/>
        <w:spacing w:after="60" w:line="240" w:lineRule="auto"/>
        <w:ind w:left="312" w:hanging="312"/>
        <w:jc w:val="both"/>
      </w:pPr>
      <w:r>
        <w:rPr>
          <w:rFonts w:ascii="Times New Roman" w:hAnsi="Times New Roman" w:eastAsia="Times New Roman"/>
          <w:b w:val="0"/>
          <w:i w:val="0"/>
          <w:color w:val="000000"/>
          <w:sz w:val="22"/>
        </w:rPr>
        <w:t>[11] S. Maitra, S. Kundu, and A. Shankar, "A Real-time Anomaly Detection Using Convolutional Autoencoder with Dynamic Threshold," ArXiv, 2024. doi: 10.48550/arxiv.2404.04311.</w:t>
      </w:r>
    </w:p>
    <w:p>
      <w:pPr>
        <w:widowControl/>
        <w:spacing w:after="60" w:line="240" w:lineRule="auto"/>
        <w:ind w:left="312" w:hanging="312"/>
        <w:jc w:val="both"/>
      </w:pPr>
      <w:r>
        <w:rPr>
          <w:rFonts w:ascii="Times New Roman" w:hAnsi="Times New Roman" w:eastAsia="Times New Roman"/>
          <w:b w:val="0"/>
          <w:i w:val="0"/>
          <w:color w:val="000000"/>
          <w:sz w:val="22"/>
        </w:rPr>
        <w:t>[12] A. F. S. Veloso, J. Reis, and R. Rabelo, "A Microservices-Based Solution with Hybrid Communication for Energy Management in Smart Grid Environments," Sensors (Basel, Switzerland), 2026. doi: 10.3390/s26051714.</w:t>
      </w:r>
    </w:p>
    <w:p>
      <w:pPr>
        <w:widowControl/>
        <w:spacing w:after="60" w:line="240" w:lineRule="auto"/>
        <w:ind w:left="312" w:hanging="312"/>
        <w:jc w:val="both"/>
      </w:pPr>
      <w:r>
        <w:rPr>
          <w:rFonts w:ascii="Times New Roman" w:hAnsi="Times New Roman" w:eastAsia="Times New Roman"/>
          <w:b w:val="0"/>
          <w:i w:val="0"/>
          <w:color w:val="000000"/>
          <w:sz w:val="22"/>
        </w:rPr>
        <w:t>[13] D. K, "Smart Energy Monitoring System," International Journal of Innovative Research in Information Security, 2025. doi: 10.26562/ijiris.2025.v1109.15.</w:t>
      </w:r>
    </w:p>
    <w:p>
      <w:pPr>
        <w:widowControl/>
        <w:spacing w:after="60" w:line="240" w:lineRule="auto"/>
        <w:ind w:left="312" w:hanging="312"/>
        <w:jc w:val="both"/>
      </w:pPr>
      <w:r>
        <w:rPr>
          <w:rFonts w:ascii="Times New Roman" w:hAnsi="Times New Roman" w:eastAsia="Times New Roman"/>
          <w:b w:val="0"/>
          <w:i w:val="0"/>
          <w:color w:val="000000"/>
          <w:sz w:val="22"/>
        </w:rPr>
        <w:t>[14] L. L. Motta, W. S. Alvarez, H. R. Carvajal, F. B. Neto, E. D. Lima, and L. F. P. Meloni, "A cloud architecture for home energy management systems: a conceptual model," Energy Informatics, 2025. doi: 10.1186/s42162-025-00599-1.</w:t>
      </w:r>
    </w:p>
    <w:p>
      <w:pPr>
        <w:widowControl/>
        <w:spacing w:after="60" w:line="240" w:lineRule="auto"/>
        <w:ind w:left="312" w:hanging="312"/>
        <w:jc w:val="both"/>
      </w:pPr>
      <w:r>
        <w:rPr>
          <w:rFonts w:ascii="Times New Roman" w:hAnsi="Times New Roman" w:eastAsia="Times New Roman"/>
          <w:b w:val="0"/>
          <w:i w:val="0"/>
          <w:color w:val="000000"/>
          <w:sz w:val="22"/>
        </w:rPr>
        <w:t>[15] J. Liu, and Y. Hsiao, "Smart plug-based home energy management with IoT and anomaly detection," Journal of the Chinese Institute of Engineers, 2025. doi: 10.1080/02533839.2025.2557233.</w:t>
      </w:r>
    </w:p>
    <w:p>
      <w:pPr>
        <w:widowControl/>
        <w:spacing w:after="60" w:line="240" w:lineRule="auto"/>
        <w:ind w:left="312" w:hanging="312"/>
        <w:jc w:val="both"/>
      </w:pPr>
      <w:r>
        <w:rPr>
          <w:rFonts w:ascii="Times New Roman" w:hAnsi="Times New Roman" w:eastAsia="Times New Roman"/>
          <w:b w:val="0"/>
          <w:i w:val="0"/>
          <w:color w:val="000000"/>
          <w:sz w:val="22"/>
        </w:rPr>
        <w:t>[16] K. M. W. Hidayat, and M. G. Al-Faris, "IoT-Based Electrical Power Consumption Monitoring System in Households Using ESP32 and PZEM-004T," Brilliance: Research of Artificial Intelligence, 2025. doi: 10.47709/brilliance.v5i2.6368.</w:t>
      </w:r>
    </w:p>
    <w:p>
      <w:pPr>
        <w:widowControl/>
        <w:spacing w:after="60" w:line="240" w:lineRule="auto"/>
        <w:ind w:left="312" w:hanging="312"/>
        <w:jc w:val="both"/>
      </w:pPr>
      <w:r>
        <w:rPr>
          <w:rFonts w:ascii="Times New Roman" w:hAnsi="Times New Roman" w:eastAsia="Times New Roman"/>
          <w:b w:val="0"/>
          <w:i w:val="0"/>
          <w:color w:val="000000"/>
          <w:sz w:val="22"/>
        </w:rPr>
        <w:t>[17] S. Sirisumrannukul, T. Intaraumnauy, and N. Piamvilai, "Optimal control of cooling management system for energy conservation in smart home with ANNs-PSO data analytics microservice platform," Heliyon, 2024. doi: 10.1016/j.heliyon.2024.e26937.</w:t>
      </w:r>
    </w:p>
    <w:p>
      <w:pPr>
        <w:widowControl/>
        <w:spacing w:after="60" w:line="240" w:lineRule="auto"/>
        <w:ind w:left="312" w:hanging="312"/>
        <w:jc w:val="both"/>
      </w:pPr>
      <w:r>
        <w:rPr>
          <w:rFonts w:ascii="Times New Roman" w:hAnsi="Times New Roman" w:eastAsia="Times New Roman"/>
          <w:b w:val="0"/>
          <w:i w:val="0"/>
          <w:color w:val="000000"/>
          <w:sz w:val="22"/>
        </w:rPr>
        <w:t>[18] M. S. Hossain, and M. Hassan, "Smart Energy Meter with Real Time Monitoring System," 2024 13th International Conference on Electrical and Computer Engineering (ICECE), 2024. doi: 10.1109/icece64886.2024.11024970.</w:t>
      </w:r>
    </w:p>
    <w:p>
      <w:pPr>
        <w:widowControl/>
        <w:spacing w:after="60" w:line="240" w:lineRule="auto"/>
        <w:ind w:left="312" w:hanging="312"/>
        <w:jc w:val="both"/>
      </w:pPr>
      <w:r>
        <w:rPr>
          <w:rFonts w:ascii="Times New Roman" w:hAnsi="Times New Roman" w:eastAsia="Times New Roman"/>
          <w:b w:val="0"/>
          <w:i w:val="0"/>
          <w:color w:val="000000"/>
          <w:sz w:val="22"/>
        </w:rPr>
        <w:t>[19] D. G. S, T. Gangakhedkar, A. P, A. Ashwija, and C. B. T. Rambapuri, "IOT-Enabled Electrical Consumption Tracking for Intelligent Energy Saving," International Journal of Scientific Research in Engineering and Management, 2025. doi: 10.55041/ijsrem54847.</w:t>
      </w:r>
    </w:p>
    <w:p>
      <w:pPr>
        <w:widowControl/>
        <w:spacing w:after="60" w:line="240" w:lineRule="auto"/>
        <w:ind w:left="312" w:hanging="312"/>
        <w:jc w:val="both"/>
      </w:pPr>
      <w:r>
        <w:rPr>
          <w:rFonts w:ascii="Times New Roman" w:hAnsi="Times New Roman" w:eastAsia="Times New Roman"/>
          <w:b w:val="0"/>
          <w:i w:val="0"/>
          <w:color w:val="000000"/>
          <w:sz w:val="22"/>
        </w:rPr>
        <w:t>[20] Y. Zhu, and M. Yue, "Design of an IoT-Based Smart City Energy Management System," 2025 4th International Conference on Green Energy and Power Systems (ICGEPS), 2025. doi: 10.1109/icgeps65133.2025.11034388.</w:t>
      </w:r>
    </w:p>
    <w:p>
      <w:pPr>
        <w:widowControl/>
        <w:spacing w:after="60" w:line="240" w:lineRule="auto"/>
        <w:ind w:left="312" w:hanging="312"/>
        <w:jc w:val="both"/>
      </w:pPr>
      <w:r>
        <w:rPr>
          <w:rFonts w:ascii="Times New Roman" w:hAnsi="Times New Roman" w:eastAsia="Times New Roman"/>
          <w:b w:val="0"/>
          <w:i w:val="0"/>
          <w:color w:val="000000"/>
          <w:sz w:val="22"/>
        </w:rPr>
        <w:t>[21] S. Susikala, R. K, J. K, S. K, and Y. M, "IoT-Based Smart Electricity Monitoring System with Real-Time Alerts and Remote Control," International Journal of Engineering &amp;amp; Extended Technologies Research, 2026. doi: 10.15662/ijeetr.2026.0802420.</w:t>
      </w:r>
    </w:p>
    <w:p>
      <w:pPr>
        <w:widowControl/>
        <w:spacing w:after="60" w:line="240" w:lineRule="auto"/>
        <w:ind w:left="312" w:hanging="312"/>
        <w:jc w:val="both"/>
      </w:pPr>
      <w:r>
        <w:rPr>
          <w:rFonts w:ascii="Times New Roman" w:hAnsi="Times New Roman" w:eastAsia="Times New Roman"/>
          <w:b w:val="0"/>
          <w:i w:val="0"/>
          <w:color w:val="000000"/>
          <w:sz w:val="22"/>
        </w:rPr>
        <w:t>[22] C. S. Sinha, "Smart Meter-Based Power Consumption Detection System: An Integrated Approach Using LSTM Networks and Real-Time Web Interface," International Journal For Multidisciplinary Research, 2025. doi: 10.36948/ijfmr.2025.v07i01.37948.</w:t>
      </w:r>
    </w:p>
    <w:p>
      <w:pPr>
        <w:widowControl/>
        <w:spacing w:after="60" w:line="240" w:lineRule="auto"/>
        <w:ind w:left="312" w:hanging="312"/>
        <w:jc w:val="both"/>
      </w:pPr>
      <w:r>
        <w:rPr>
          <w:rFonts w:ascii="Times New Roman" w:hAnsi="Times New Roman" w:eastAsia="Times New Roman"/>
          <w:b w:val="0"/>
          <w:i w:val="0"/>
          <w:color w:val="000000"/>
          <w:sz w:val="22"/>
        </w:rPr>
        <w:t>[23] F. Dinmohammadi, A. M. Farook, and M. Shafiee, "Improving Energy Efficiency in Buildings with an IoT-Based Smart Monitoring System," Energies, 2025. doi: 10.3390/en18051269.</w:t>
      </w:r>
    </w:p>
    <w:p>
      <w:pPr>
        <w:widowControl/>
        <w:spacing w:after="60" w:line="240" w:lineRule="auto"/>
        <w:ind w:left="312" w:hanging="312"/>
        <w:jc w:val="both"/>
      </w:pPr>
      <w:r>
        <w:rPr>
          <w:rFonts w:ascii="Times New Roman" w:hAnsi="Times New Roman" w:eastAsia="Times New Roman"/>
          <w:b w:val="0"/>
          <w:i w:val="0"/>
          <w:color w:val="000000"/>
          <w:sz w:val="22"/>
        </w:rPr>
        <w:t>[24] S. Son, S. Ko, H. Lee, S. Lee, and B. Lee, "SIMA: Scalable IoT Microservice Architecture With Users and Things Joint Load Balancing," IEEE Internet of Things Journal, 2024. doi: 10.1109/jiot.2023.3317430.</w:t>
      </w:r>
    </w:p>
    <w:sectPr w:rsidR="00D942B0" w:rsidSect="00034616">
      <w:headerReference w:type="default" r:id="rId10"/>
      <w:footerReference w:type="default" r:id="rId11"/>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834CFD" w14:textId="77777777" w:rsidR="00E50C08" w:rsidRDefault="00E50C08">
      <w:pPr>
        <w:spacing w:after="0" w:line="240" w:lineRule="auto"/>
      </w:pPr>
      <w:r>
        <w:separator/>
      </w:r>
    </w:p>
  </w:endnote>
  <w:endnote w:type="continuationSeparator" w:id="0">
    <w:p w14:paraId="14AD8441" w14:textId="77777777" w:rsidR="00E50C08" w:rsidRDefault="00E50C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A13FF" w14:textId="77777777" w:rsidR="00D942B0" w:rsidRDefault="00D942B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2358D0" w14:textId="77777777" w:rsidR="00E50C08" w:rsidRDefault="00E50C08">
      <w:pPr>
        <w:spacing w:after="0" w:line="240" w:lineRule="auto"/>
      </w:pPr>
      <w:r>
        <w:separator/>
      </w:r>
    </w:p>
  </w:footnote>
  <w:footnote w:type="continuationSeparator" w:id="0">
    <w:p w14:paraId="0DCF3BBD" w14:textId="77777777" w:rsidR="00E50C08" w:rsidRDefault="00E50C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C333B8" w14:textId="77777777" w:rsidR="00D942B0" w:rsidRDefault="00D942B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1740BA7"/>
    <w:multiLevelType w:val="multilevel"/>
    <w:tmpl w:val="6E5E96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A40"/>
    <w:rsid w:val="000128C4"/>
    <w:rsid w:val="000138C3"/>
    <w:rsid w:val="00014B89"/>
    <w:rsid w:val="00024F5C"/>
    <w:rsid w:val="00027833"/>
    <w:rsid w:val="00034616"/>
    <w:rsid w:val="0005509F"/>
    <w:rsid w:val="0006063C"/>
    <w:rsid w:val="000818D8"/>
    <w:rsid w:val="00083E76"/>
    <w:rsid w:val="00090BF2"/>
    <w:rsid w:val="000A623D"/>
    <w:rsid w:val="000A69AA"/>
    <w:rsid w:val="000B56CF"/>
    <w:rsid w:val="000C0385"/>
    <w:rsid w:val="000D370A"/>
    <w:rsid w:val="000D4B6C"/>
    <w:rsid w:val="000D51A8"/>
    <w:rsid w:val="000F711E"/>
    <w:rsid w:val="000F7DCF"/>
    <w:rsid w:val="00100958"/>
    <w:rsid w:val="00107084"/>
    <w:rsid w:val="00112DBE"/>
    <w:rsid w:val="001139D1"/>
    <w:rsid w:val="00117196"/>
    <w:rsid w:val="0012130F"/>
    <w:rsid w:val="00123033"/>
    <w:rsid w:val="00124FDD"/>
    <w:rsid w:val="001252B4"/>
    <w:rsid w:val="001255CC"/>
    <w:rsid w:val="00127650"/>
    <w:rsid w:val="0013661E"/>
    <w:rsid w:val="00142B90"/>
    <w:rsid w:val="001444FA"/>
    <w:rsid w:val="0015074B"/>
    <w:rsid w:val="00153A08"/>
    <w:rsid w:val="001637FA"/>
    <w:rsid w:val="00167D7B"/>
    <w:rsid w:val="00170AB7"/>
    <w:rsid w:val="0017761F"/>
    <w:rsid w:val="0019097E"/>
    <w:rsid w:val="0019119F"/>
    <w:rsid w:val="001975A7"/>
    <w:rsid w:val="001B7C9E"/>
    <w:rsid w:val="001D085A"/>
    <w:rsid w:val="001D3136"/>
    <w:rsid w:val="001D4534"/>
    <w:rsid w:val="001E4E70"/>
    <w:rsid w:val="001E54A0"/>
    <w:rsid w:val="001E7B4D"/>
    <w:rsid w:val="001F4B38"/>
    <w:rsid w:val="001F5730"/>
    <w:rsid w:val="002218B9"/>
    <w:rsid w:val="00232B75"/>
    <w:rsid w:val="00232F5B"/>
    <w:rsid w:val="002440A3"/>
    <w:rsid w:val="002522F7"/>
    <w:rsid w:val="00260131"/>
    <w:rsid w:val="002721FE"/>
    <w:rsid w:val="00287926"/>
    <w:rsid w:val="00287BBC"/>
    <w:rsid w:val="00293A6D"/>
    <w:rsid w:val="0029639D"/>
    <w:rsid w:val="002A2A80"/>
    <w:rsid w:val="002B4FEE"/>
    <w:rsid w:val="002D2909"/>
    <w:rsid w:val="002E0D91"/>
    <w:rsid w:val="00310BD4"/>
    <w:rsid w:val="00310EC4"/>
    <w:rsid w:val="00312054"/>
    <w:rsid w:val="00315E78"/>
    <w:rsid w:val="00326F90"/>
    <w:rsid w:val="00350ABE"/>
    <w:rsid w:val="00351C3D"/>
    <w:rsid w:val="0036132D"/>
    <w:rsid w:val="00362E0D"/>
    <w:rsid w:val="00366A78"/>
    <w:rsid w:val="00372934"/>
    <w:rsid w:val="00374E53"/>
    <w:rsid w:val="003767EA"/>
    <w:rsid w:val="00382C9D"/>
    <w:rsid w:val="00392952"/>
    <w:rsid w:val="003B0F2E"/>
    <w:rsid w:val="003B1926"/>
    <w:rsid w:val="003B2082"/>
    <w:rsid w:val="003B7919"/>
    <w:rsid w:val="003B7AB2"/>
    <w:rsid w:val="003C1AEF"/>
    <w:rsid w:val="003C25FB"/>
    <w:rsid w:val="003C72E7"/>
    <w:rsid w:val="003E4411"/>
    <w:rsid w:val="003F2E34"/>
    <w:rsid w:val="00406218"/>
    <w:rsid w:val="00422C7E"/>
    <w:rsid w:val="00425FEF"/>
    <w:rsid w:val="00430606"/>
    <w:rsid w:val="00430E54"/>
    <w:rsid w:val="004360EA"/>
    <w:rsid w:val="00452614"/>
    <w:rsid w:val="00455BF5"/>
    <w:rsid w:val="00466ED2"/>
    <w:rsid w:val="004745FA"/>
    <w:rsid w:val="00477EC2"/>
    <w:rsid w:val="004822B2"/>
    <w:rsid w:val="0048461F"/>
    <w:rsid w:val="004A0E8E"/>
    <w:rsid w:val="004B4879"/>
    <w:rsid w:val="004B65CA"/>
    <w:rsid w:val="004B6A14"/>
    <w:rsid w:val="004C1BD3"/>
    <w:rsid w:val="004C1DAC"/>
    <w:rsid w:val="004D359A"/>
    <w:rsid w:val="004E21EB"/>
    <w:rsid w:val="00500C4A"/>
    <w:rsid w:val="00514AEA"/>
    <w:rsid w:val="00520A4B"/>
    <w:rsid w:val="00522558"/>
    <w:rsid w:val="00535DEF"/>
    <w:rsid w:val="00544B63"/>
    <w:rsid w:val="0055052D"/>
    <w:rsid w:val="00550927"/>
    <w:rsid w:val="00551E3B"/>
    <w:rsid w:val="00553418"/>
    <w:rsid w:val="005579D3"/>
    <w:rsid w:val="00563175"/>
    <w:rsid w:val="00565AA9"/>
    <w:rsid w:val="00573014"/>
    <w:rsid w:val="00584271"/>
    <w:rsid w:val="00585157"/>
    <w:rsid w:val="00586634"/>
    <w:rsid w:val="005877A3"/>
    <w:rsid w:val="0059120F"/>
    <w:rsid w:val="00596E7F"/>
    <w:rsid w:val="005A0EE4"/>
    <w:rsid w:val="005A5270"/>
    <w:rsid w:val="005D1A6A"/>
    <w:rsid w:val="005E5AAB"/>
    <w:rsid w:val="005E7403"/>
    <w:rsid w:val="005F278D"/>
    <w:rsid w:val="005F50FD"/>
    <w:rsid w:val="005F522A"/>
    <w:rsid w:val="00615BFF"/>
    <w:rsid w:val="00627967"/>
    <w:rsid w:val="006316D1"/>
    <w:rsid w:val="00631940"/>
    <w:rsid w:val="00637447"/>
    <w:rsid w:val="006424A7"/>
    <w:rsid w:val="00664BAF"/>
    <w:rsid w:val="006740E4"/>
    <w:rsid w:val="00677113"/>
    <w:rsid w:val="0069243B"/>
    <w:rsid w:val="006A3AC2"/>
    <w:rsid w:val="006A6FB6"/>
    <w:rsid w:val="006C0544"/>
    <w:rsid w:val="006C1E20"/>
    <w:rsid w:val="006C7804"/>
    <w:rsid w:val="006D6AB4"/>
    <w:rsid w:val="006E7E90"/>
    <w:rsid w:val="007003E5"/>
    <w:rsid w:val="00700F35"/>
    <w:rsid w:val="00715476"/>
    <w:rsid w:val="007176AF"/>
    <w:rsid w:val="007208CA"/>
    <w:rsid w:val="00724880"/>
    <w:rsid w:val="007440FA"/>
    <w:rsid w:val="007472A6"/>
    <w:rsid w:val="0075204D"/>
    <w:rsid w:val="00756119"/>
    <w:rsid w:val="00757776"/>
    <w:rsid w:val="00765105"/>
    <w:rsid w:val="007712BC"/>
    <w:rsid w:val="00775CA9"/>
    <w:rsid w:val="00777422"/>
    <w:rsid w:val="00777A48"/>
    <w:rsid w:val="007865CF"/>
    <w:rsid w:val="00795DB6"/>
    <w:rsid w:val="007C61AC"/>
    <w:rsid w:val="007D22B2"/>
    <w:rsid w:val="007D53AA"/>
    <w:rsid w:val="007F555E"/>
    <w:rsid w:val="00811F2B"/>
    <w:rsid w:val="008142C6"/>
    <w:rsid w:val="00820B4A"/>
    <w:rsid w:val="008213A0"/>
    <w:rsid w:val="00826F41"/>
    <w:rsid w:val="00833DEF"/>
    <w:rsid w:val="00840181"/>
    <w:rsid w:val="00853F4E"/>
    <w:rsid w:val="008566A0"/>
    <w:rsid w:val="0087099E"/>
    <w:rsid w:val="00874102"/>
    <w:rsid w:val="00884577"/>
    <w:rsid w:val="008918DA"/>
    <w:rsid w:val="008B487C"/>
    <w:rsid w:val="008C0A20"/>
    <w:rsid w:val="008C71F1"/>
    <w:rsid w:val="008D04F9"/>
    <w:rsid w:val="008F53CA"/>
    <w:rsid w:val="009002EB"/>
    <w:rsid w:val="00910DD7"/>
    <w:rsid w:val="00914777"/>
    <w:rsid w:val="00920814"/>
    <w:rsid w:val="009431A3"/>
    <w:rsid w:val="009476FD"/>
    <w:rsid w:val="009528F8"/>
    <w:rsid w:val="0095412E"/>
    <w:rsid w:val="00956D08"/>
    <w:rsid w:val="00976842"/>
    <w:rsid w:val="00987FEC"/>
    <w:rsid w:val="009972A9"/>
    <w:rsid w:val="00997A79"/>
    <w:rsid w:val="009C4971"/>
    <w:rsid w:val="009C5BD9"/>
    <w:rsid w:val="009D3E31"/>
    <w:rsid w:val="009D49EC"/>
    <w:rsid w:val="009F1EA6"/>
    <w:rsid w:val="009F7E36"/>
    <w:rsid w:val="00A21755"/>
    <w:rsid w:val="00A5260B"/>
    <w:rsid w:val="00A73AB6"/>
    <w:rsid w:val="00A90118"/>
    <w:rsid w:val="00AA1D8D"/>
    <w:rsid w:val="00AA39A1"/>
    <w:rsid w:val="00AC1A73"/>
    <w:rsid w:val="00AC474D"/>
    <w:rsid w:val="00AD5E4C"/>
    <w:rsid w:val="00AE4E96"/>
    <w:rsid w:val="00AE6884"/>
    <w:rsid w:val="00AE6FD9"/>
    <w:rsid w:val="00AE75C0"/>
    <w:rsid w:val="00AE76DE"/>
    <w:rsid w:val="00AE76E1"/>
    <w:rsid w:val="00AF397F"/>
    <w:rsid w:val="00AF538C"/>
    <w:rsid w:val="00AF74BE"/>
    <w:rsid w:val="00B47730"/>
    <w:rsid w:val="00B604C7"/>
    <w:rsid w:val="00B75209"/>
    <w:rsid w:val="00B75B50"/>
    <w:rsid w:val="00B80DB4"/>
    <w:rsid w:val="00B822AD"/>
    <w:rsid w:val="00B85ED9"/>
    <w:rsid w:val="00B90CFA"/>
    <w:rsid w:val="00BA08FE"/>
    <w:rsid w:val="00BA7CF4"/>
    <w:rsid w:val="00BB00B1"/>
    <w:rsid w:val="00BB03C1"/>
    <w:rsid w:val="00BB4F92"/>
    <w:rsid w:val="00BB5BE3"/>
    <w:rsid w:val="00BD0E56"/>
    <w:rsid w:val="00BE33BC"/>
    <w:rsid w:val="00BE6A19"/>
    <w:rsid w:val="00BE71DC"/>
    <w:rsid w:val="00BF7B83"/>
    <w:rsid w:val="00C02225"/>
    <w:rsid w:val="00C06CD3"/>
    <w:rsid w:val="00C1182D"/>
    <w:rsid w:val="00C24CF9"/>
    <w:rsid w:val="00C37B53"/>
    <w:rsid w:val="00C43800"/>
    <w:rsid w:val="00C51F6C"/>
    <w:rsid w:val="00C70C23"/>
    <w:rsid w:val="00C80D58"/>
    <w:rsid w:val="00C813E9"/>
    <w:rsid w:val="00C820C6"/>
    <w:rsid w:val="00C93039"/>
    <w:rsid w:val="00CA07B7"/>
    <w:rsid w:val="00CB0664"/>
    <w:rsid w:val="00CC41A7"/>
    <w:rsid w:val="00CD4B84"/>
    <w:rsid w:val="00CE53E8"/>
    <w:rsid w:val="00D02A75"/>
    <w:rsid w:val="00D06BFD"/>
    <w:rsid w:val="00D07C3D"/>
    <w:rsid w:val="00D23949"/>
    <w:rsid w:val="00D273D8"/>
    <w:rsid w:val="00D33FA1"/>
    <w:rsid w:val="00D45E3F"/>
    <w:rsid w:val="00D55055"/>
    <w:rsid w:val="00D562F6"/>
    <w:rsid w:val="00D62507"/>
    <w:rsid w:val="00D74B02"/>
    <w:rsid w:val="00D8257E"/>
    <w:rsid w:val="00D942B0"/>
    <w:rsid w:val="00DA047D"/>
    <w:rsid w:val="00DB487A"/>
    <w:rsid w:val="00DC0A94"/>
    <w:rsid w:val="00DC2F53"/>
    <w:rsid w:val="00DE7130"/>
    <w:rsid w:val="00DF538D"/>
    <w:rsid w:val="00DF68A7"/>
    <w:rsid w:val="00DF6EB9"/>
    <w:rsid w:val="00E04D3C"/>
    <w:rsid w:val="00E130D3"/>
    <w:rsid w:val="00E17FE9"/>
    <w:rsid w:val="00E3352D"/>
    <w:rsid w:val="00E3539F"/>
    <w:rsid w:val="00E413BD"/>
    <w:rsid w:val="00E50C08"/>
    <w:rsid w:val="00E55F64"/>
    <w:rsid w:val="00E6012A"/>
    <w:rsid w:val="00E60871"/>
    <w:rsid w:val="00E86D9E"/>
    <w:rsid w:val="00EA423D"/>
    <w:rsid w:val="00EA6170"/>
    <w:rsid w:val="00EB67A3"/>
    <w:rsid w:val="00EC0CDD"/>
    <w:rsid w:val="00ED433D"/>
    <w:rsid w:val="00ED5196"/>
    <w:rsid w:val="00F207FD"/>
    <w:rsid w:val="00F263BF"/>
    <w:rsid w:val="00F2699A"/>
    <w:rsid w:val="00F41374"/>
    <w:rsid w:val="00F41BBC"/>
    <w:rsid w:val="00F46045"/>
    <w:rsid w:val="00F560D0"/>
    <w:rsid w:val="00F6142F"/>
    <w:rsid w:val="00F66E6E"/>
    <w:rsid w:val="00F7150C"/>
    <w:rsid w:val="00F87C46"/>
    <w:rsid w:val="00F9607E"/>
    <w:rsid w:val="00FB4349"/>
    <w:rsid w:val="00FB5C63"/>
    <w:rsid w:val="00FC2E60"/>
    <w:rsid w:val="00FC693F"/>
    <w:rsid w:val="00FD72B4"/>
    <w:rsid w:val="00FE6691"/>
    <w:rsid w:val="00FF0902"/>
    <w:rsid w:val="00FF23A6"/>
    <w:rsid w:val="00FF540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C8DB70"/>
  <w14:defaultImageDpi w14:val="300"/>
  <w15:docId w15:val="{9B3A8BE5-AD3B-4C0C-82DF-9B4508BD6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76" w:lineRule="auto"/>
    </w:pPr>
    <w:rPr>
      <w:rFonts w:ascii="Times New Roman" w:hAnsi="Times New Roman" w:eastAsia="Times New Roman"/>
      <w:color w:val="000000"/>
      <w:sz w:val="22"/>
    </w:rPr>
  </w:style>
  <w:style w:type="paragraph" w:styleId="Heading1">
    <w:name w:val="heading 1"/>
    <w:basedOn w:val="Normal"/>
    <w:next w:val="Normal"/>
    <w:link w:val="Heading1Char"/>
    <w:uiPriority w:val="9"/>
    <w:qFormat/>
    <w:rsid w:val="00FC693F"/>
    <w:pPr>
      <w:keepNext/>
      <w:keepLines/>
      <w:spacing w:before="200" w:after="80"/>
      <w:outlineLvl w:val="0"/>
    </w:pPr>
    <w:rPr>
      <w:rFonts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E5AAB"/>
    <w:rPr>
      <w:color w:val="0000FF" w:themeColor="hyperlink"/>
      <w:u w:val="single"/>
    </w:rPr>
  </w:style>
  <w:style w:type="character" w:styleId="UnresolvedMention">
    <w:name w:val="Unresolved Mention"/>
    <w:basedOn w:val="DefaultParagraphFont"/>
    <w:uiPriority w:val="99"/>
    <w:semiHidden/>
    <w:unhideWhenUsed/>
    <w:rsid w:val="005E5AAB"/>
    <w:rPr>
      <w:color w:val="605E5C"/>
      <w:shd w:val="clear" w:color="auto" w:fill="E1DFDD"/>
    </w:rPr>
  </w:style>
  <w:style w:type="character" w:styleId="FollowedHyperlink">
    <w:name w:val="FollowedHyperlink"/>
    <w:basedOn w:val="DefaultParagraphFont"/>
    <w:uiPriority w:val="99"/>
    <w:semiHidden/>
    <w:unhideWhenUsed/>
    <w:rsid w:val="0017761F"/>
    <w:rPr>
      <w:color w:val="800080" w:themeColor="followedHyperlink"/>
      <w:u w:val="single"/>
    </w:rPr>
  </w:style>
  <w:style w:type="paragraph" w:styleId="NormalWeb">
    <w:name w:val="Normal (Web)"/>
    <w:basedOn w:val="Normal"/>
    <w:uiPriority w:val="99"/>
    <w:semiHidden/>
    <w:unhideWhenUsed/>
    <w:rsid w:val="00535DEF"/>
    <w:rPr>
      <w:szCs w:val="24"/>
    </w:rPr>
  </w:style>
  <w:style w:type="character" w:styleId="PlaceholderText">
    <w:name w:val="Placeholder Text"/>
    <w:basedOn w:val="DefaultParagraphFont"/>
    <w:uiPriority w:val="99"/>
    <w:semiHidden/>
    <w:rsid w:val="00E17FE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itstudent.ac.i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syamasudha.v@vit.ac.in" TargetMode="External"/><Relationship Id="rId100" Type="http://schemas.openxmlformats.org/officeDocument/2006/relationships/image" Target="media/image1.png"/><Relationship Id="rId10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2</Pages>
  <Words>240</Words>
  <Characters>1372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MotoHalo: Automated Helmet Compliance Monitoring Using YOLO-Based Localization and Deep Ensemble Classification</vt:lpstr>
    </vt:vector>
  </TitlesOfParts>
  <Manager/>
  <Company/>
  <LinksUpToDate>false</LinksUpToDate>
  <CharactersWithSpaces>1609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Microservices Based Home Energy Tracker for Real Time Monitoring Intelligent Alerting and AI Driven Energy Insights</dc:title>
  <dc:subject>Review 2 Research Paper</dc:subject>
  <dc:creator>Nandha Kishore M</dc:creator>
  <cp:keywords>home energy, microservices, IoT, Wokwi, InfluxDB, energy analytics</cp:keywords>
  <dc:description>Formatted using the supplied project documentation template.</dc:description>
  <cp:lastModifiedBy>syamasudha veeragandham</cp:lastModifiedBy>
  <cp:revision>24</cp:revision>
  <dcterms:created xsi:type="dcterms:W3CDTF">2026-08-16T19:44:00Z</dcterms:created>
  <dcterms:modified xsi:type="dcterms:W3CDTF">2026-09-05T10:10:00Z</dcterms:modified>
  <cp:category/>
</cp:coreProperties>
</file>