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color w:val="17365D"/>
          <w:sz w:val="32"/>
        </w:rPr>
        <w:t>Paper Revision Evidence Audit Pack</w:t>
      </w:r>
    </w:p>
    <w:p>
      <w:pPr>
        <w:spacing w:after="240"/>
        <w:jc w:val="center"/>
      </w:pPr>
      <w:r>
        <w:rPr>
          <w:rFonts w:ascii="Times New Roman" w:hAnsi="Times New Roman" w:eastAsia="Times New Roman"/>
          <w:i/>
          <w:color w:val="4E6173"/>
          <w:sz w:val="21"/>
        </w:rPr>
        <w:t>Home Energy Tracker — final implementation-and-evaluation revision</w:t>
      </w:r>
    </w:p>
    <w:p>
      <w:pPr>
        <w:keepLines/>
      </w:pPr>
      <w:r>
        <w:rPr>
          <w:rFonts w:ascii="Times New Roman" w:hAnsi="Times New Roman" w:eastAsia="Times New Roman"/>
          <w:i w:val="0"/>
          <w:sz w:val="19"/>
        </w:rPr>
        <w:t>Purpose: This companion record explains how the manuscript was revised from the earlier prototype paper. It classifies each important statement by implementation and evidence status, records superseded claims, and identifies what must not be claimed in a presentation or publication.</w:t>
      </w:r>
    </w:p>
    <w:p>
      <w:pPr>
        <w:pStyle w:val="Heading1"/>
        <w:jc w:val="left"/>
        <w:keepNext/>
      </w:pPr>
      <w:r>
        <w:rPr>
          <w:rFonts w:ascii="Times New Roman" w:hAnsi="Times New Roman" w:eastAsia="Times New Roman"/>
          <w:b/>
          <w:color w:val="17365D"/>
          <w:sz w:val="24"/>
        </w:rPr>
        <w:t>1. Revision Basis and Title Decision</w:t>
      </w:r>
    </w:p>
    <w:p>
      <w:pPr>
        <w:keepLines/>
      </w:pPr>
      <w:r>
        <w:rPr>
          <w:rFonts w:ascii="Times New Roman" w:hAnsi="Times New Roman" w:eastAsia="Times New Roman"/>
          <w:i w:val="0"/>
        </w:rPr>
        <w:t>Source paper reviewed: version-1.1aHome_Energy_Tracker-publication.docx. The requested copy with “(1)” was not found; the matching paper was used. The paper was treated as historical context only. Current source code, Docker configuration, retained dataset/evidence records, and the completed testing guide were used as the source of truth.</w:t>
      </w:r>
    </w:p>
    <w:p>
      <w:pPr>
        <w:spacing w:before="40" w:after="120"/>
        <w:jc w:val="center"/>
      </w:pPr>
      <w:r>
        <w:rPr>
          <w:rFonts w:ascii="Times New Roman" w:hAnsi="Times New Roman" w:eastAsia="Times New Roman"/>
          <w:i/>
          <w:sz w:val="17"/>
        </w:rPr>
        <w:t>TABLE A1. Title candidates evaluated</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68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Candidate</w:t>
            </w:r>
          </w:p>
        </w:tc>
        <w:tc>
          <w:tcPr>
            <w:tcW w:type="dxa" w:w="540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Assessment</w:t>
            </w:r>
          </w:p>
        </w:tc>
      </w:tr>
      <w:tr>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A Microservices-Based Home Energy Tracker for Real-Time Monitoring, Intelligent Alerting, and AI-Driven Energy Insights</w:t>
            </w:r>
          </w:p>
        </w:tc>
        <w:tc>
          <w:tcPr>
            <w:tcW w:type="dxa" w:w="5400"/>
            <w:tcMar>
              <w:top w:w="80" w:type="dxa"/>
              <w:start w:w="80" w:type="dxa"/>
              <w:bottom w:w="80" w:type="dxa"/>
              <w:end w:w="80" w:type="dxa"/>
            </w:tcMar>
            <w:vAlign w:val="top"/>
          </w:tcPr>
          <w:p>
            <w:pPr>
              <w:spacing w:after="0"/>
              <w:jc w:val="left"/>
            </w:pPr>
            <w:r/>
            <w:r>
              <w:rPr>
                <w:rFonts w:ascii="Times New Roman" w:hAnsi="Times New Roman" w:eastAsia="Times New Roman"/>
                <w:sz w:val="16"/>
              </w:rPr>
              <w:t>Rejected: “real-time,” “intelligent,” and “AI-driven” were too broad and the old paper omitted the evaluated ML subsystem.</w:t>
            </w:r>
          </w:p>
        </w:tc>
      </w:tr>
      <w:tr>
        <w:tc>
          <w:tcPr>
            <w:tcW w:type="dxa" w:w="468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A Secure Event-Driven Microservices Home Energy Tracker with ML-Based Anomaly Detection and Deterministic Energy Insights</w:t>
            </w:r>
          </w:p>
        </w:tc>
        <w:tc>
          <w:tcPr>
            <w:tcW w:type="dxa" w:w="540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Not selected: “secure” may overstate local API validation; title is long.</w:t>
            </w:r>
          </w:p>
        </w:tc>
      </w:tr>
      <w:tr>
        <w:tc>
          <w:tcPr>
            <w:tcW w:type="dxa" w:w="4680"/>
            <w:tcMar>
              <w:top w:w="80" w:type="dxa"/>
              <w:start w:w="80" w:type="dxa"/>
              <w:bottom w:w="80" w:type="dxa"/>
              <w:end w:w="80" w:type="dxa"/>
            </w:tcMar>
            <w:vAlign w:val="top"/>
          </w:tcPr>
          <w:p>
            <w:pPr>
              <w:spacing w:after="0"/>
              <w:jc w:val="left"/>
            </w:pPr>
            <w:r/>
            <w:r>
              <w:rPr>
                <w:rFonts w:ascii="Times New Roman" w:hAnsi="Times New Roman" w:eastAsia="Times New Roman"/>
                <w:sz w:val="16"/>
              </w:rPr>
              <w:t>An Event-Driven Microservices Home Energy Tracker with Gateway Authentication and ML-Based Anomaly Detection</w:t>
            </w:r>
          </w:p>
        </w:tc>
        <w:tc>
          <w:tcPr>
            <w:tcW w:type="dxa" w:w="5400"/>
            <w:tcMar>
              <w:top w:w="80" w:type="dxa"/>
              <w:start w:w="80" w:type="dxa"/>
              <w:bottom w:w="80" w:type="dxa"/>
              <w:end w:w="80" w:type="dxa"/>
            </w:tcMar>
            <w:vAlign w:val="top"/>
          </w:tcPr>
          <w:p>
            <w:pPr>
              <w:spacing w:after="0"/>
              <w:jc w:val="left"/>
            </w:pPr>
            <w:r/>
            <w:r>
              <w:rPr>
                <w:rFonts w:ascii="Times New Roman" w:hAnsi="Times New Roman" w:eastAsia="Times New Roman"/>
                <w:sz w:val="16"/>
              </w:rPr>
              <w:t>Selected: names the demonstrated architectural and ML contributions without asserting physical accuracy, production scale, or universal security.</w:t>
            </w:r>
          </w:p>
        </w:tc>
      </w:tr>
    </w:tbl>
    <w:p>
      <w:pPr>
        <w:spacing w:after="20"/>
      </w:pPr>
    </w:p>
    <w:p>
      <w:pPr>
        <w:pStyle w:val="Heading1"/>
        <w:jc w:val="left"/>
        <w:keepNext/>
      </w:pPr>
      <w:r>
        <w:rPr>
          <w:rFonts w:ascii="Times New Roman" w:hAnsi="Times New Roman" w:eastAsia="Times New Roman"/>
          <w:b/>
          <w:color w:val="17365D"/>
          <w:sz w:val="24"/>
        </w:rPr>
        <w:t>2. Paper Revision Change Log</w:t>
      </w:r>
    </w:p>
    <w:p>
      <w:pPr>
        <w:spacing w:before="40" w:after="120"/>
        <w:jc w:val="center"/>
      </w:pPr>
      <w:r>
        <w:rPr>
          <w:rFonts w:ascii="Times New Roman" w:hAnsi="Times New Roman" w:eastAsia="Times New Roman"/>
          <w:i/>
          <w:sz w:val="17"/>
        </w:rPr>
        <w:t>TABLE A2. Material claim replacements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09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Old section / claim</w:t>
            </w:r>
          </w:p>
        </w:tc>
        <w:tc>
          <w:tcPr>
            <w:tcW w:type="dxa" w:w="3528"/>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Revision</w:t>
            </w:r>
          </w:p>
        </w:tc>
        <w:tc>
          <w:tcPr>
            <w:tcW w:type="dxa" w:w="345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5"/>
              </w:rPr>
              <w:t>Reason and evidence</w:t>
            </w:r>
          </w:p>
        </w:tc>
      </w:tr>
      <w:tr>
        <w:tc>
          <w:tcPr>
            <w:tcW w:type="dxa" w:w="3096"/>
            <w:tcMar>
              <w:top w:w="80" w:type="dxa"/>
              <w:start w:w="80" w:type="dxa"/>
              <w:bottom w:w="80" w:type="dxa"/>
              <w:end w:w="80" w:type="dxa"/>
            </w:tcMar>
            <w:vAlign w:val="top"/>
          </w:tcPr>
          <w:p>
            <w:pPr>
              <w:spacing w:after="0"/>
              <w:jc w:val="left"/>
            </w:pPr>
            <w:r/>
            <w:r>
              <w:rPr>
                <w:rFonts w:ascii="Times New Roman" w:hAnsi="Times New Roman" w:eastAsia="Times New Roman"/>
                <w:sz w:val="15"/>
              </w:rPr>
              <w:t>Abstract and introduction: no supervised anomaly detection or validated predictive model.</w:t>
            </w:r>
          </w:p>
        </w:tc>
        <w:tc>
          <w:tcPr>
            <w:tcW w:type="dxa" w:w="3528"/>
            <w:tcMar>
              <w:top w:w="80" w:type="dxa"/>
              <w:start w:w="80" w:type="dxa"/>
              <w:bottom w:w="80" w:type="dxa"/>
              <w:end w:w="80" w:type="dxa"/>
            </w:tcMar>
            <w:vAlign w:val="top"/>
          </w:tcPr>
          <w:p>
            <w:pPr>
              <w:spacing w:after="0"/>
              <w:jc w:val="left"/>
            </w:pPr>
            <w:r/>
            <w:r>
              <w:rPr>
                <w:rFonts w:ascii="Times New Roman" w:hAnsi="Times New Roman" w:eastAsia="Times New Roman"/>
                <w:sz w:val="15"/>
              </w:rPr>
              <w:t>Describe the evaluated Random Forest and separate offline metrics from runtime integration.</w:t>
            </w:r>
          </w:p>
        </w:tc>
        <w:tc>
          <w:tcPr>
            <w:tcW w:type="dxa" w:w="3456"/>
            <w:tcMar>
              <w:top w:w="80" w:type="dxa"/>
              <w:start w:w="80" w:type="dxa"/>
              <w:bottom w:w="80" w:type="dxa"/>
              <w:end w:w="80" w:type="dxa"/>
            </w:tcMar>
            <w:vAlign w:val="top"/>
          </w:tcPr>
          <w:p>
            <w:pPr>
              <w:spacing w:after="0"/>
              <w:jc w:val="left"/>
            </w:pPr>
            <w:r/>
            <w:r>
              <w:rPr>
                <w:rFonts w:ascii="Times New Roman" w:hAnsi="Times New Roman" w:eastAsia="Times New Roman"/>
                <w:sz w:val="15"/>
              </w:rPr>
              <w:t>ML training code, model metadata, held-out metrics, and persisted artifact.</w:t>
            </w:r>
          </w:p>
        </w:tc>
      </w:tr>
      <w:tr>
        <w:tc>
          <w:tcPr>
            <w:tcW w:type="dxa" w:w="309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Introduction: authentication, authorization, load and resilience testing excluded.</w:t>
            </w:r>
          </w:p>
        </w:tc>
        <w:tc>
          <w:tcPr>
            <w:tcW w:type="dxa" w:w="3528"/>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Report bounded gateway security, k6, and service-stop observations.</w:t>
            </w:r>
          </w:p>
        </w:tc>
        <w:tc>
          <w:tcPr>
            <w:tcW w:type="dxa" w:w="345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Security results (8 cases), k6 summary, fault records.</w:t>
            </w:r>
          </w:p>
        </w:tc>
      </w:tr>
      <w:tr>
        <w:tc>
          <w:tcPr>
            <w:tcW w:type="dxa" w:w="3096"/>
            <w:tcMar>
              <w:top w:w="80" w:type="dxa"/>
              <w:start w:w="80" w:type="dxa"/>
              <w:bottom w:w="80" w:type="dxa"/>
              <w:end w:w="80" w:type="dxa"/>
            </w:tcMar>
            <w:vAlign w:val="top"/>
          </w:tcPr>
          <w:p>
            <w:pPr>
              <w:spacing w:after="0"/>
              <w:jc w:val="left"/>
            </w:pPr>
            <w:r/>
            <w:r>
              <w:rPr>
                <w:rFonts w:ascii="Times New Roman" w:hAnsi="Times New Roman" w:eastAsia="Times New Roman"/>
                <w:sz w:val="15"/>
              </w:rPr>
              <w:t>Architecture: gateway, six Java services, Kafka, InfluxDB, MySQL, Mailpit only.</w:t>
            </w:r>
          </w:p>
        </w:tc>
        <w:tc>
          <w:tcPr>
            <w:tcW w:type="dxa" w:w="3528"/>
            <w:tcMar>
              <w:top w:w="80" w:type="dxa"/>
              <w:start w:w="80" w:type="dxa"/>
              <w:bottom w:w="80" w:type="dxa"/>
              <w:end w:w="80" w:type="dxa"/>
            </w:tcMar>
            <w:vAlign w:val="top"/>
          </w:tcPr>
          <w:p>
            <w:pPr>
              <w:spacing w:after="0"/>
              <w:jc w:val="left"/>
            </w:pPr>
            <w:r/>
            <w:r>
              <w:rPr>
                <w:rFonts w:ascii="Times New Roman" w:hAnsi="Times New Roman" w:eastAsia="Times New Roman"/>
                <w:sz w:val="15"/>
              </w:rPr>
              <w:t>Add Keycloak, device token, ML Inference, anomaly-results, 15-minute deduplication, Prometheus/Grafana, frontend.</w:t>
            </w:r>
          </w:p>
        </w:tc>
        <w:tc>
          <w:tcPr>
            <w:tcW w:type="dxa" w:w="3456"/>
            <w:tcMar>
              <w:top w:w="80" w:type="dxa"/>
              <w:start w:w="80" w:type="dxa"/>
              <w:bottom w:w="80" w:type="dxa"/>
              <w:end w:w="80" w:type="dxa"/>
            </w:tcMar>
            <w:vAlign w:val="top"/>
          </w:tcPr>
          <w:p>
            <w:pPr>
              <w:spacing w:after="0"/>
              <w:jc w:val="left"/>
            </w:pPr>
            <w:r/>
            <w:r>
              <w:rPr>
                <w:rFonts w:ascii="Times New Roman" w:hAnsi="Times New Roman" w:eastAsia="Times New Roman"/>
                <w:sz w:val="15"/>
              </w:rPr>
              <w:t>docker-compose.yml and service source code.</w:t>
            </w:r>
          </w:p>
        </w:tc>
      </w:tr>
      <w:tr>
        <w:tc>
          <w:tcPr>
            <w:tcW w:type="dxa" w:w="309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Alert method: repeated threshold alerts are not deduplicated.</w:t>
            </w:r>
          </w:p>
        </w:tc>
        <w:tc>
          <w:tcPr>
            <w:tcW w:type="dxa" w:w="3528"/>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Describe the configured key and 15-minute window; qualify as one controlled functional observation.</w:t>
            </w:r>
          </w:p>
        </w:tc>
        <w:tc>
          <w:tcPr>
            <w:tcW w:type="dxa" w:w="345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AlertService.java and deduplication evidence.</w:t>
            </w:r>
          </w:p>
        </w:tc>
      </w:tr>
      <w:tr>
        <w:tc>
          <w:tcPr>
            <w:tcW w:type="dxa" w:w="3096"/>
            <w:tcMar>
              <w:top w:w="80" w:type="dxa"/>
              <w:start w:w="80" w:type="dxa"/>
              <w:bottom w:w="80" w:type="dxa"/>
              <w:end w:w="80" w:type="dxa"/>
            </w:tcMar>
            <w:vAlign w:val="top"/>
          </w:tcPr>
          <w:p>
            <w:pPr>
              <w:spacing w:after="0"/>
              <w:jc w:val="left"/>
            </w:pPr>
            <w:r/>
            <w:r>
              <w:rPr>
                <w:rFonts w:ascii="Times New Roman" w:hAnsi="Times New Roman" w:eastAsia="Times New Roman"/>
                <w:sz w:val="15"/>
              </w:rPr>
              <w:t>Workflow: no train/test split or empirical classifier evaluation.</w:t>
            </w:r>
          </w:p>
        </w:tc>
        <w:tc>
          <w:tcPr>
            <w:tcW w:type="dxa" w:w="3528"/>
            <w:tcMar>
              <w:top w:w="80" w:type="dxa"/>
              <w:start w:w="80" w:type="dxa"/>
              <w:bottom w:w="80" w:type="dxa"/>
              <w:end w:w="80" w:type="dxa"/>
            </w:tcMar>
            <w:vAlign w:val="top"/>
          </w:tcPr>
          <w:p>
            <w:pPr>
              <w:spacing w:after="0"/>
              <w:jc w:val="left"/>
            </w:pPr>
            <w:r/>
            <w:r>
              <w:rPr>
                <w:rFonts w:ascii="Times New Roman" w:hAnsi="Times New Roman" w:eastAsia="Times New Roman"/>
                <w:sz w:val="15"/>
              </w:rPr>
              <w:t>Add chronological split, model comparison, held-out results, and integration boundary.</w:t>
            </w:r>
          </w:p>
        </w:tc>
        <w:tc>
          <w:tcPr>
            <w:tcW w:type="dxa" w:w="3456"/>
            <w:tcMar>
              <w:top w:w="80" w:type="dxa"/>
              <w:start w:w="80" w:type="dxa"/>
              <w:bottom w:w="80" w:type="dxa"/>
              <w:end w:w="80" w:type="dxa"/>
            </w:tcMar>
            <w:vAlign w:val="top"/>
          </w:tcPr>
          <w:p>
            <w:pPr>
              <w:spacing w:after="0"/>
              <w:jc w:val="left"/>
            </w:pPr>
            <w:r/>
            <w:r>
              <w:rPr>
                <w:rFonts w:ascii="Times New Roman" w:hAnsi="Times New Roman" w:eastAsia="Times New Roman"/>
                <w:sz w:val="15"/>
              </w:rPr>
              <w:t>ML code and evidence/01–05.</w:t>
            </w:r>
          </w:p>
        </w:tc>
      </w:tr>
      <w:tr>
        <w:tc>
          <w:tcPr>
            <w:tcW w:type="dxa" w:w="309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Functional tests: 19 discovered, 16 executed, 3 skipped.</w:t>
            </w:r>
          </w:p>
        </w:tc>
        <w:tc>
          <w:tcPr>
            <w:tcW w:type="dxa" w:w="3528"/>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Separate historical 28 Java/3 skipped, 3 ML API, 4 gateway regression, 8 security, and other experiments by scope/date.</w:t>
            </w:r>
          </w:p>
        </w:tc>
        <w:tc>
          <w:tcPr>
            <w:tcW w:type="dxa" w:w="345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evidence/11 and evidence/15.</w:t>
            </w:r>
          </w:p>
        </w:tc>
      </w:tr>
      <w:tr>
        <w:tc>
          <w:tcPr>
            <w:tcW w:type="dxa" w:w="3096"/>
            <w:tcMar>
              <w:top w:w="80" w:type="dxa"/>
              <w:start w:w="80" w:type="dxa"/>
              <w:bottom w:w="80" w:type="dxa"/>
              <w:end w:w="80" w:type="dxa"/>
            </w:tcMar>
            <w:vAlign w:val="top"/>
          </w:tcPr>
          <w:p>
            <w:pPr>
              <w:spacing w:after="0"/>
              <w:jc w:val="left"/>
            </w:pPr>
            <w:r/>
            <w:r>
              <w:rPr>
                <w:rFonts w:ascii="Times New Roman" w:hAnsi="Times New Roman" w:eastAsia="Times New Roman"/>
                <w:sz w:val="15"/>
              </w:rPr>
              <w:t>Results: 17.32 s analytics and 6.14 s alert observation.</w:t>
            </w:r>
          </w:p>
        </w:tc>
        <w:tc>
          <w:tcPr>
            <w:tcW w:type="dxa" w:w="3528"/>
            <w:tcMar>
              <w:top w:w="80" w:type="dxa"/>
              <w:start w:w="80" w:type="dxa"/>
              <w:bottom w:w="80" w:type="dxa"/>
              <w:end w:w="80" w:type="dxa"/>
            </w:tcMar>
            <w:vAlign w:val="top"/>
          </w:tcPr>
          <w:p>
            <w:pPr>
              <w:spacing w:after="0"/>
              <w:jc w:val="left"/>
            </w:pPr>
            <w:r/>
            <w:r>
              <w:rPr>
                <w:rFonts w:ascii="Times New Roman" w:hAnsi="Times New Roman" w:eastAsia="Times New Roman"/>
                <w:sz w:val="15"/>
              </w:rPr>
              <w:t>Replace with latest E2E record: 3.79 s analytics availability and 13.64 s threshold-alert/email observation.</w:t>
            </w:r>
          </w:p>
        </w:tc>
        <w:tc>
          <w:tcPr>
            <w:tcW w:type="dxa" w:w="3456"/>
            <w:tcMar>
              <w:top w:w="80" w:type="dxa"/>
              <w:start w:w="80" w:type="dxa"/>
              <w:bottom w:w="80" w:type="dxa"/>
              <w:end w:w="80" w:type="dxa"/>
            </w:tcMar>
            <w:vAlign w:val="top"/>
          </w:tcPr>
          <w:p>
            <w:pPr>
              <w:spacing w:after="0"/>
              <w:jc w:val="left"/>
            </w:pPr>
            <w:r/>
            <w:r>
              <w:rPr>
                <w:rFonts w:ascii="Times New Roman" w:hAnsi="Times New Roman" w:eastAsia="Times New Roman"/>
                <w:sz w:val="15"/>
              </w:rPr>
              <w:t>Latest successful E2E JSON; explicitly polling-bounded.</w:t>
            </w:r>
          </w:p>
        </w:tc>
      </w:tr>
      <w:tr>
        <w:tc>
          <w:tcPr>
            <w:tcW w:type="dxa" w:w="309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Future work: add auth, ML, observability, deduplication, load and fault testing.</w:t>
            </w:r>
          </w:p>
        </w:tc>
        <w:tc>
          <w:tcPr>
            <w:tcW w:type="dxa" w:w="3528"/>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Remove as already implemented; retain calibration, provenance, field trials, multi-node testing, and broader failures.</w:t>
            </w:r>
          </w:p>
        </w:tc>
        <w:tc>
          <w:tcPr>
            <w:tcW w:type="dxa" w:w="3456"/>
            <w:shd w:fill="EEF3F8"/>
            <w:tcMar>
              <w:top w:w="80" w:type="dxa"/>
              <w:start w:w="80" w:type="dxa"/>
              <w:bottom w:w="80" w:type="dxa"/>
              <w:end w:w="80" w:type="dxa"/>
            </w:tcMar>
            <w:vAlign w:val="top"/>
          </w:tcPr>
          <w:p>
            <w:pPr>
              <w:spacing w:after="0"/>
              <w:jc w:val="left"/>
            </w:pPr>
            <w:r/>
            <w:r>
              <w:rPr>
                <w:rFonts w:ascii="Times New Roman" w:hAnsi="Times New Roman" w:eastAsia="Times New Roman"/>
                <w:sz w:val="15"/>
              </w:rPr>
              <w:t>Current implementation/evidence audit.</w:t>
            </w:r>
          </w:p>
        </w:tc>
      </w:tr>
    </w:tbl>
    <w:p>
      <w:pPr>
        <w:spacing w:after="20"/>
      </w:pPr>
    </w:p>
    <w:p>
      <w:pPr>
        <w:pStyle w:val="Heading1"/>
        <w:jc w:val="left"/>
        <w:keepNext/>
      </w:pPr>
      <w:r>
        <w:rPr>
          <w:rFonts w:ascii="Times New Roman" w:hAnsi="Times New Roman" w:eastAsia="Times New Roman"/>
          <w:b/>
          <w:color w:val="17365D"/>
          <w:sz w:val="24"/>
        </w:rPr>
        <w:t>3. Evidence-to-Paper Matrix</w:t>
      </w:r>
    </w:p>
    <w:p>
      <w:pPr>
        <w:spacing w:before="40" w:after="120"/>
        <w:jc w:val="center"/>
      </w:pPr>
      <w:r>
        <w:rPr>
          <w:rFonts w:ascii="Times New Roman" w:hAnsi="Times New Roman" w:eastAsia="Times New Roman"/>
          <w:i/>
          <w:sz w:val="17"/>
        </w:rPr>
        <w:t>TABLE A3. Claim classification used in the final manuscript</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23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Claim</w:t>
            </w:r>
          </w:p>
        </w:tc>
        <w:tc>
          <w:tcPr>
            <w:tcW w:type="dxa" w:w="165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Paper location</w:t>
            </w:r>
          </w:p>
        </w:tc>
        <w:tc>
          <w:tcPr>
            <w:tcW w:type="dxa" w:w="3888"/>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Actual evidence</w:t>
            </w:r>
          </w:p>
        </w:tc>
        <w:tc>
          <w:tcPr>
            <w:tcW w:type="dxa" w:w="2304"/>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Status</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4"/>
              </w:rPr>
              <w:t>17-service local architecture</w:t>
            </w:r>
          </w:p>
        </w:tc>
        <w:tc>
          <w:tcPr>
            <w:tcW w:type="dxa" w:w="1656"/>
            <w:tcMar>
              <w:top w:w="80" w:type="dxa"/>
              <w:start w:w="80" w:type="dxa"/>
              <w:bottom w:w="80" w:type="dxa"/>
              <w:end w:w="80" w:type="dxa"/>
            </w:tcMar>
            <w:vAlign w:val="top"/>
          </w:tcPr>
          <w:p>
            <w:pPr>
              <w:spacing w:after="0"/>
              <w:jc w:val="left"/>
            </w:pPr>
            <w:r/>
            <w:r>
              <w:rPr>
                <w:rFonts w:ascii="Times New Roman" w:hAnsi="Times New Roman" w:eastAsia="Times New Roman"/>
                <w:sz w:val="14"/>
              </w:rPr>
              <w:t>III-A; IV-A</w:t>
            </w:r>
          </w:p>
        </w:tc>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4"/>
              </w:rPr>
              <w:t>docker-compose.yml; final validation report</w:t>
            </w:r>
          </w:p>
        </w:tc>
        <w:tc>
          <w:tcPr>
            <w:tcW w:type="dxa" w:w="2304"/>
            <w:tcMar>
              <w:top w:w="80" w:type="dxa"/>
              <w:start w:w="80" w:type="dxa"/>
              <w:bottom w:w="80" w:type="dxa"/>
              <w:end w:w="80" w:type="dxa"/>
            </w:tcMar>
            <w:vAlign w:val="top"/>
          </w:tcPr>
          <w:p>
            <w:pPr>
              <w:spacing w:after="0"/>
              <w:jc w:val="left"/>
            </w:pPr>
            <w:r/>
            <w:r>
              <w:rPr>
                <w:rFonts w:ascii="Times New Roman" w:hAnsi="Times New Roman" w:eastAsia="Times New Roman"/>
                <w:sz w:val="14"/>
              </w:rPr>
              <w:t>Implemented + functionally observed</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JWT roles, ownership, and machine token</w:t>
            </w:r>
          </w:p>
        </w:tc>
        <w:tc>
          <w:tcPr>
            <w:tcW w:type="dxa" w:w="165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III-A; V-C</w:t>
            </w:r>
          </w:p>
        </w:tc>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Gateway source; 8-case security JSON/CSV</w:t>
            </w:r>
          </w:p>
        </w:tc>
        <w:tc>
          <w:tcPr>
            <w:tcW w:type="dxa" w:w="2304"/>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Implemented + functionally tested</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4"/>
              </w:rPr>
              <w:t>Time-series usage and deterministic insights</w:t>
            </w:r>
          </w:p>
        </w:tc>
        <w:tc>
          <w:tcPr>
            <w:tcW w:type="dxa" w:w="1656"/>
            <w:tcMar>
              <w:top w:w="80" w:type="dxa"/>
              <w:start w:w="80" w:type="dxa"/>
              <w:bottom w:w="80" w:type="dxa"/>
              <w:end w:w="80" w:type="dxa"/>
            </w:tcMar>
            <w:vAlign w:val="top"/>
          </w:tcPr>
          <w:p>
            <w:pPr>
              <w:spacing w:after="0"/>
              <w:jc w:val="left"/>
            </w:pPr>
            <w:r/>
            <w:r>
              <w:rPr>
                <w:rFonts w:ascii="Times New Roman" w:hAnsi="Times New Roman" w:eastAsia="Times New Roman"/>
                <w:sz w:val="14"/>
              </w:rPr>
              <w:t>III-B; V-B</w:t>
            </w:r>
          </w:p>
        </w:tc>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4"/>
              </w:rPr>
              <w:t>Usage/Insight source; latest E2E JSON</w:t>
            </w:r>
          </w:p>
        </w:tc>
        <w:tc>
          <w:tcPr>
            <w:tcW w:type="dxa" w:w="2304"/>
            <w:tcMar>
              <w:top w:w="80" w:type="dxa"/>
              <w:start w:w="80" w:type="dxa"/>
              <w:bottom w:w="80" w:type="dxa"/>
              <w:end w:w="80" w:type="dxa"/>
            </w:tcMar>
            <w:vAlign w:val="top"/>
          </w:tcPr>
          <w:p>
            <w:pPr>
              <w:spacing w:after="0"/>
              <w:jc w:val="left"/>
            </w:pPr>
            <w:r/>
            <w:r>
              <w:rPr>
                <w:rFonts w:ascii="Times New Roman" w:hAnsi="Times New Roman" w:eastAsia="Times New Roman"/>
                <w:sz w:val="14"/>
              </w:rPr>
              <w:t>Implemented + functionally tested</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Random Forest model</w:t>
            </w:r>
          </w:p>
        </w:tc>
        <w:tc>
          <w:tcPr>
            <w:tcW w:type="dxa" w:w="165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III-C; V-A</w:t>
            </w:r>
          </w:p>
        </w:tc>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train.py; joblib; model metadata; metrics</w:t>
            </w:r>
          </w:p>
        </w:tc>
        <w:tc>
          <w:tcPr>
            <w:tcW w:type="dxa" w:w="2304"/>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Implemented + experimentally evaluated offline</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4"/>
              </w:rPr>
              <w:t>Kafka ML event path</w:t>
            </w:r>
          </w:p>
        </w:tc>
        <w:tc>
          <w:tcPr>
            <w:tcW w:type="dxa" w:w="1656"/>
            <w:tcMar>
              <w:top w:w="80" w:type="dxa"/>
              <w:start w:w="80" w:type="dxa"/>
              <w:bottom w:w="80" w:type="dxa"/>
              <w:end w:w="80" w:type="dxa"/>
            </w:tcMar>
            <w:vAlign w:val="top"/>
          </w:tcPr>
          <w:p>
            <w:pPr>
              <w:spacing w:after="0"/>
              <w:jc w:val="left"/>
            </w:pPr>
            <w:r/>
            <w:r>
              <w:rPr>
                <w:rFonts w:ascii="Times New Roman" w:hAnsi="Times New Roman" w:eastAsia="Times New Roman"/>
                <w:sz w:val="14"/>
              </w:rPr>
              <w:t>III-C; V-B</w:t>
            </w:r>
          </w:p>
        </w:tc>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4"/>
              </w:rPr>
              <w:t>Kafka worker, AlertService, E2E observation</w:t>
            </w:r>
          </w:p>
        </w:tc>
        <w:tc>
          <w:tcPr>
            <w:tcW w:type="dxa" w:w="2304"/>
            <w:tcMar>
              <w:top w:w="80" w:type="dxa"/>
              <w:start w:w="80" w:type="dxa"/>
              <w:bottom w:w="80" w:type="dxa"/>
              <w:end w:w="80" w:type="dxa"/>
            </w:tcMar>
            <w:vAlign w:val="top"/>
          </w:tcPr>
          <w:p>
            <w:pPr>
              <w:spacing w:after="0"/>
              <w:jc w:val="left"/>
            </w:pPr>
            <w:r/>
            <w:r>
              <w:rPr>
                <w:rFonts w:ascii="Times New Roman" w:hAnsi="Times New Roman" w:eastAsia="Times New Roman"/>
                <w:sz w:val="14"/>
              </w:rPr>
              <w:t>Implemented + runtime observation</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15-minute deduplication</w:t>
            </w:r>
          </w:p>
        </w:tc>
        <w:tc>
          <w:tcPr>
            <w:tcW w:type="dxa" w:w="165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III-D; V-D</w:t>
            </w:r>
          </w:p>
        </w:tc>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AlertService; unit and live dedup records</w:t>
            </w:r>
          </w:p>
        </w:tc>
        <w:tc>
          <w:tcPr>
            <w:tcW w:type="dxa" w:w="2304"/>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Implemented + functionally tested</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4"/>
              </w:rPr>
              <w:t>Prometheus/Grafana</w:t>
            </w:r>
          </w:p>
        </w:tc>
        <w:tc>
          <w:tcPr>
            <w:tcW w:type="dxa" w:w="1656"/>
            <w:tcMar>
              <w:top w:w="80" w:type="dxa"/>
              <w:start w:w="80" w:type="dxa"/>
              <w:bottom w:w="80" w:type="dxa"/>
              <w:end w:w="80" w:type="dxa"/>
            </w:tcMar>
            <w:vAlign w:val="top"/>
          </w:tcPr>
          <w:p>
            <w:pPr>
              <w:spacing w:after="0"/>
              <w:jc w:val="left"/>
            </w:pPr>
            <w:r/>
            <w:r>
              <w:rPr>
                <w:rFonts w:ascii="Times New Roman" w:hAnsi="Times New Roman" w:eastAsia="Times New Roman"/>
                <w:sz w:val="14"/>
              </w:rPr>
              <w:t>III-D; V-D</w:t>
            </w:r>
          </w:p>
        </w:tc>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4"/>
              </w:rPr>
              <w:t>compose/config; dated 8-target snapshot</w:t>
            </w:r>
          </w:p>
        </w:tc>
        <w:tc>
          <w:tcPr>
            <w:tcW w:type="dxa" w:w="2304"/>
            <w:tcMar>
              <w:top w:w="80" w:type="dxa"/>
              <w:start w:w="80" w:type="dxa"/>
              <w:bottom w:w="80" w:type="dxa"/>
              <w:end w:w="80" w:type="dxa"/>
            </w:tcMar>
            <w:vAlign w:val="top"/>
          </w:tcPr>
          <w:p>
            <w:pPr>
              <w:spacing w:after="0"/>
              <w:jc w:val="left"/>
            </w:pPr>
            <w:r/>
            <w:r>
              <w:rPr>
                <w:rFonts w:ascii="Times New Roman" w:hAnsi="Times New Roman" w:eastAsia="Times New Roman"/>
                <w:sz w:val="14"/>
              </w:rPr>
              <w:t>Implemented + dated runtime snapshot</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k6 ingestion behavior</w:t>
            </w:r>
          </w:p>
        </w:tc>
        <w:tc>
          <w:tcPr>
            <w:tcW w:type="dxa" w:w="165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IV-C; V-E</w:t>
            </w:r>
          </w:p>
        </w:tc>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k6 config and JSON summary</w:t>
            </w:r>
          </w:p>
        </w:tc>
        <w:tc>
          <w:tcPr>
            <w:tcW w:type="dxa" w:w="2304"/>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Experimentally evaluated locally</w:t>
            </w:r>
          </w:p>
        </w:tc>
      </w:tr>
      <w:tr>
        <w:tc>
          <w:tcPr>
            <w:tcW w:type="dxa" w:w="2232"/>
            <w:tcMar>
              <w:top w:w="80" w:type="dxa"/>
              <w:start w:w="80" w:type="dxa"/>
              <w:bottom w:w="80" w:type="dxa"/>
              <w:end w:w="80" w:type="dxa"/>
            </w:tcMar>
            <w:vAlign w:val="top"/>
          </w:tcPr>
          <w:p>
            <w:pPr>
              <w:spacing w:after="0"/>
              <w:jc w:val="left"/>
            </w:pPr>
            <w:r/>
            <w:r>
              <w:rPr>
                <w:rFonts w:ascii="Times New Roman" w:hAnsi="Times New Roman" w:eastAsia="Times New Roman"/>
                <w:sz w:val="14"/>
              </w:rPr>
              <w:t>Mailpit and ML service-stop behavior</w:t>
            </w:r>
          </w:p>
        </w:tc>
        <w:tc>
          <w:tcPr>
            <w:tcW w:type="dxa" w:w="1656"/>
            <w:tcMar>
              <w:top w:w="80" w:type="dxa"/>
              <w:start w:w="80" w:type="dxa"/>
              <w:bottom w:w="80" w:type="dxa"/>
              <w:end w:w="80" w:type="dxa"/>
            </w:tcMar>
            <w:vAlign w:val="top"/>
          </w:tcPr>
          <w:p>
            <w:pPr>
              <w:spacing w:after="0"/>
              <w:jc w:val="left"/>
            </w:pPr>
            <w:r/>
            <w:r>
              <w:rPr>
                <w:rFonts w:ascii="Times New Roman" w:hAnsi="Times New Roman" w:eastAsia="Times New Roman"/>
                <w:sz w:val="14"/>
              </w:rPr>
              <w:t>IV-C; V-E</w:t>
            </w:r>
          </w:p>
        </w:tc>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4"/>
              </w:rPr>
              <w:t>fault records</w:t>
            </w:r>
          </w:p>
        </w:tc>
        <w:tc>
          <w:tcPr>
            <w:tcW w:type="dxa" w:w="2304"/>
            <w:tcMar>
              <w:top w:w="80" w:type="dxa"/>
              <w:start w:w="80" w:type="dxa"/>
              <w:bottom w:w="80" w:type="dxa"/>
              <w:end w:w="80" w:type="dxa"/>
            </w:tcMar>
            <w:vAlign w:val="top"/>
          </w:tcPr>
          <w:p>
            <w:pPr>
              <w:spacing w:after="0"/>
              <w:jc w:val="left"/>
            </w:pPr>
            <w:r/>
            <w:r>
              <w:rPr>
                <w:rFonts w:ascii="Times New Roman" w:hAnsi="Times New Roman" w:eastAsia="Times New Roman"/>
                <w:sz w:val="14"/>
              </w:rPr>
              <w:t>Controlled manual-restoration observation</w:t>
            </w:r>
          </w:p>
        </w:tc>
      </w:tr>
      <w:tr>
        <w:tc>
          <w:tcPr>
            <w:tcW w:type="dxa" w:w="2232"/>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Physical-meter / field validity</w:t>
            </w:r>
          </w:p>
        </w:tc>
        <w:tc>
          <w:tcPr>
            <w:tcW w:type="dxa" w:w="165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VI</w:t>
            </w:r>
          </w:p>
        </w:tc>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No matching evidence</w:t>
            </w:r>
          </w:p>
        </w:tc>
        <w:tc>
          <w:tcPr>
            <w:tcW w:type="dxa" w:w="2304"/>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Not evaluated</w:t>
            </w:r>
          </w:p>
        </w:tc>
      </w:tr>
    </w:tbl>
    <w:p>
      <w:pPr>
        <w:spacing w:after="20"/>
      </w:pPr>
    </w:p>
    <w:p>
      <w:pPr>
        <w:pStyle w:val="Heading1"/>
        <w:jc w:val="left"/>
        <w:keepNext/>
      </w:pPr>
      <w:r>
        <w:rPr>
          <w:rFonts w:ascii="Times New Roman" w:hAnsi="Times New Roman" w:eastAsia="Times New Roman"/>
          <w:b/>
          <w:color w:val="17365D"/>
          <w:sz w:val="24"/>
        </w:rPr>
        <w:t>4. Stale-Claim Audit</w:t>
      </w:r>
    </w:p>
    <w:p>
      <w:pPr>
        <w:keepLines/>
      </w:pPr>
      <w:r>
        <w:rPr>
          <w:rFonts w:ascii="Times New Roman" w:hAnsi="Times New Roman" w:eastAsia="Times New Roman"/>
          <w:i w:val="0"/>
        </w:rPr>
        <w:t>The following obsolete claims were removed or rewritten. None remain in the revised manuscript.</w:t>
      </w:r>
    </w:p>
    <w:p>
      <w:pPr>
        <w:pStyle w:val="ListBullet"/>
        <w:ind w:left="255" w:hanging="142"/>
      </w:pPr>
      <w:r>
        <w:rPr>
          <w:rFonts w:ascii="Times New Roman" w:hAnsi="Times New Roman" w:eastAsia="Times New Roman"/>
          <w:sz w:val="19"/>
        </w:rPr>
        <w:t>No trained classifier or classification metrics.</w:t>
      </w:r>
    </w:p>
    <w:p>
      <w:pPr>
        <w:pStyle w:val="ListBullet"/>
        <w:ind w:left="255" w:hanging="142"/>
      </w:pPr>
      <w:r>
        <w:rPr>
          <w:rFonts w:ascii="Times New Roman" w:hAnsi="Times New Roman" w:eastAsia="Times New Roman"/>
          <w:sz w:val="19"/>
        </w:rPr>
        <w:t>No supervised-learning train/test evaluation.</w:t>
      </w:r>
    </w:p>
    <w:p>
      <w:pPr>
        <w:pStyle w:val="ListBullet"/>
        <w:ind w:left="255" w:hanging="142"/>
      </w:pPr>
      <w:r>
        <w:rPr>
          <w:rFonts w:ascii="Times New Roman" w:hAnsi="Times New Roman" w:eastAsia="Times New Roman"/>
          <w:sz w:val="19"/>
        </w:rPr>
        <w:t>No Keycloak, JWT, authorization, or ownership enforcement.</w:t>
      </w:r>
    </w:p>
    <w:p>
      <w:pPr>
        <w:pStyle w:val="ListBullet"/>
        <w:ind w:left="255" w:hanging="142"/>
      </w:pPr>
      <w:r>
        <w:rPr>
          <w:rFonts w:ascii="Times New Roman" w:hAnsi="Times New Roman" w:eastAsia="Times New Roman"/>
          <w:sz w:val="19"/>
        </w:rPr>
        <w:t>No device/machine authentication for telemetry.</w:t>
      </w:r>
    </w:p>
    <w:p>
      <w:pPr>
        <w:pStyle w:val="ListBullet"/>
        <w:ind w:left="255" w:hanging="142"/>
      </w:pPr>
      <w:r>
        <w:rPr>
          <w:rFonts w:ascii="Times New Roman" w:hAnsi="Times New Roman" w:eastAsia="Times New Roman"/>
          <w:sz w:val="19"/>
        </w:rPr>
        <w:t>No alert-deduplication window.</w:t>
      </w:r>
    </w:p>
    <w:p>
      <w:pPr>
        <w:pStyle w:val="ListBullet"/>
        <w:ind w:left="255" w:hanging="142"/>
      </w:pPr>
      <w:r>
        <w:rPr>
          <w:rFonts w:ascii="Times New Roman" w:hAnsi="Times New Roman" w:eastAsia="Times New Roman"/>
          <w:sz w:val="19"/>
        </w:rPr>
        <w:t>No observability, Prometheus, or Grafana.</w:t>
      </w:r>
    </w:p>
    <w:p>
      <w:pPr>
        <w:pStyle w:val="ListBullet"/>
        <w:ind w:left="255" w:hanging="142"/>
      </w:pPr>
      <w:r>
        <w:rPr>
          <w:rFonts w:ascii="Times New Roman" w:hAnsi="Times New Roman" w:eastAsia="Times New Roman"/>
          <w:sz w:val="19"/>
        </w:rPr>
        <w:t>No load or fault-injection testing.</w:t>
      </w:r>
    </w:p>
    <w:p>
      <w:pPr>
        <w:pStyle w:val="ListBullet"/>
        <w:ind w:left="255" w:hanging="142"/>
      </w:pPr>
      <w:r>
        <w:rPr>
          <w:rFonts w:ascii="Times New Roman" w:hAnsi="Times New Roman" w:eastAsia="Times New Roman"/>
          <w:sz w:val="19"/>
        </w:rPr>
        <w:t>Only four-event prototype evidence with 17.32 s / 6.14 s observations as current results.</w:t>
      </w:r>
    </w:p>
    <w:p>
      <w:pPr>
        <w:pStyle w:val="ListBullet"/>
        <w:ind w:left="255" w:hanging="142"/>
      </w:pPr>
      <w:r>
        <w:rPr>
          <w:rFonts w:ascii="Times New Roman" w:hAnsi="Times New Roman" w:eastAsia="Times New Roman"/>
          <w:sz w:val="19"/>
        </w:rPr>
        <w:t>Future work to add authentication, ML, deduplication, observability, load testing, and fault injection.</w:t>
      </w:r>
    </w:p>
    <w:p>
      <w:pPr>
        <w:pStyle w:val="Heading1"/>
        <w:jc w:val="left"/>
        <w:keepNext/>
      </w:pPr>
      <w:r>
        <w:rPr>
          <w:rFonts w:ascii="Times New Roman" w:hAnsi="Times New Roman" w:eastAsia="Times New Roman"/>
          <w:b/>
          <w:color w:val="17365D"/>
          <w:sz w:val="24"/>
        </w:rPr>
        <w:t>5. Experiment Summary</w:t>
      </w:r>
    </w:p>
    <w:p>
      <w:pPr>
        <w:spacing w:before="40" w:after="120"/>
        <w:jc w:val="center"/>
      </w:pPr>
      <w:r>
        <w:rPr>
          <w:rFonts w:ascii="Times New Roman" w:hAnsi="Times New Roman" w:eastAsia="Times New Roman"/>
          <w:i/>
          <w:sz w:val="17"/>
        </w:rPr>
        <w:t>TABLE A4. Experiment-by-experiment result summary</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28"/>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Experiment</w:t>
            </w:r>
          </w:p>
        </w:tc>
        <w:tc>
          <w:tcPr>
            <w:tcW w:type="dxa" w:w="288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Objective and method</w:t>
            </w:r>
          </w:p>
        </w:tc>
        <w:tc>
          <w:tcPr>
            <w:tcW w:type="dxa" w:w="2736"/>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Observed result</w:t>
            </w:r>
          </w:p>
        </w:tc>
        <w:tc>
          <w:tcPr>
            <w:tcW w:type="dxa" w:w="288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4"/>
              </w:rPr>
              <w:t>Interpretation / limitation</w:t>
            </w:r>
          </w:p>
        </w:tc>
      </w:tr>
      <w:tr>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4"/>
              </w:rPr>
              <w:t>Dataset audit</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Inspect CSV schema, quality, timestamp distribution and labels.</w:t>
            </w:r>
          </w:p>
        </w:tc>
        <w:tc>
          <w:tcPr>
            <w:tcW w:type="dxa" w:w="2736"/>
            <w:tcMar>
              <w:top w:w="80" w:type="dxa"/>
              <w:start w:w="80" w:type="dxa"/>
              <w:bottom w:w="80" w:type="dxa"/>
              <w:end w:w="80" w:type="dxa"/>
            </w:tcMar>
            <w:vAlign w:val="top"/>
          </w:tcPr>
          <w:p>
            <w:pPr>
              <w:spacing w:after="0"/>
              <w:jc w:val="left"/>
            </w:pPr>
            <w:r/>
            <w:r>
              <w:rPr>
                <w:rFonts w:ascii="Times New Roman" w:hAnsi="Times New Roman" w:eastAsia="Times New Roman"/>
                <w:sz w:val="14"/>
              </w:rPr>
              <w:t>5,000 rows, 7 columns, 30-min interval, 95%/5% normal/abnormal; no missing/duplicate/invalid retained rows.</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Dataset provenance, licence, label generation, and entity identity are unavailable.</w:t>
            </w:r>
          </w:p>
        </w:tc>
      </w:tr>
      <w:tr>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Offline ML</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Chronological 70/15/15 split; compare LR and RF; select by validation F1.</w:t>
            </w:r>
          </w:p>
        </w:tc>
        <w:tc>
          <w:tcPr>
            <w:tcW w:type="dxa" w:w="273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RF test F1 0.90244, PR-AUC 0.94853; LR F1 0.10127.</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Single retained CSV interval; no field or Wokwi generalization.</w:t>
            </w:r>
          </w:p>
        </w:tc>
      </w:tr>
      <w:tr>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4"/>
              </w:rPr>
              <w:t>Security</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Eight gateway-level expected-status API cases.</w:t>
            </w:r>
          </w:p>
        </w:tc>
        <w:tc>
          <w:tcPr>
            <w:tcW w:type="dxa" w:w="2736"/>
            <w:tcMar>
              <w:top w:w="80" w:type="dxa"/>
              <w:start w:w="80" w:type="dxa"/>
              <w:bottom w:w="80" w:type="dxa"/>
              <w:end w:w="80" w:type="dxa"/>
            </w:tcMar>
            <w:vAlign w:val="top"/>
          </w:tcPr>
          <w:p>
            <w:pPr>
              <w:spacing w:after="0"/>
              <w:jc w:val="left"/>
            </w:pPr>
            <w:r/>
            <w:r>
              <w:rPr>
                <w:rFonts w:ascii="Times New Roman" w:hAnsi="Times New Roman" w:eastAsia="Times New Roman"/>
                <w:sz w:val="14"/>
              </w:rPr>
              <w:t>8/8 expected statuses observed.</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Local API validation; neither penetration test nor production-security proof.</w:t>
            </w:r>
          </w:p>
        </w:tc>
      </w:tr>
      <w:tr>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Deduplication</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Submit duplicate input and inspect alert/log outcome.</w:t>
            </w:r>
          </w:p>
        </w:tc>
        <w:tc>
          <w:tcPr>
            <w:tcW w:type="dxa" w:w="273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One persisted ML anomaly alert plus logged suppression within 15 min.</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One functional scenario; no general duplicate-rate claim.</w:t>
            </w:r>
          </w:p>
        </w:tc>
      </w:tr>
      <w:tr>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4"/>
              </w:rPr>
              <w:t>Observability</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Inspect Prometheus targets and health endpoints.</w:t>
            </w:r>
          </w:p>
        </w:tc>
        <w:tc>
          <w:tcPr>
            <w:tcW w:type="dxa" w:w="2736"/>
            <w:tcMar>
              <w:top w:w="80" w:type="dxa"/>
              <w:start w:w="80" w:type="dxa"/>
              <w:bottom w:w="80" w:type="dxa"/>
              <w:end w:w="80" w:type="dxa"/>
            </w:tcMar>
            <w:vAlign w:val="top"/>
          </w:tcPr>
          <w:p>
            <w:pPr>
              <w:spacing w:after="0"/>
              <w:jc w:val="left"/>
            </w:pPr>
            <w:r/>
            <w:r>
              <w:rPr>
                <w:rFonts w:ascii="Times New Roman" w:hAnsi="Times New Roman" w:eastAsia="Times New Roman"/>
                <w:sz w:val="14"/>
              </w:rPr>
              <w:t>8 active targets all up in dated snapshot.</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Target reachability only; no long-duration availability or tracing evidence.</w:t>
            </w:r>
          </w:p>
        </w:tc>
      </w:tr>
      <w:tr>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k6 load</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Local authenticated ingestion ramp to 10 req/s.</w:t>
            </w:r>
          </w:p>
        </w:tc>
        <w:tc>
          <w:tcPr>
            <w:tcW w:type="dxa" w:w="273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450/450 checks; 0 failures; p95 109.77 ms.</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One local scenario; no capacity or scalability conclusion.</w:t>
            </w:r>
          </w:p>
        </w:tc>
      </w:tr>
      <w:tr>
        <w:tc>
          <w:tcPr>
            <w:tcW w:type="dxa" w:w="1728"/>
            <w:tcMar>
              <w:top w:w="80" w:type="dxa"/>
              <w:start w:w="80" w:type="dxa"/>
              <w:bottom w:w="80" w:type="dxa"/>
              <w:end w:w="80" w:type="dxa"/>
            </w:tcMar>
            <w:vAlign w:val="top"/>
          </w:tcPr>
          <w:p>
            <w:pPr>
              <w:spacing w:after="0"/>
              <w:jc w:val="left"/>
            </w:pPr>
            <w:r/>
            <w:r>
              <w:rPr>
                <w:rFonts w:ascii="Times New Roman" w:hAnsi="Times New Roman" w:eastAsia="Times New Roman"/>
                <w:sz w:val="14"/>
              </w:rPr>
              <w:t>Fault scenarios</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Stop Mailpit/ML service, submit ingestion, manually restart container.</w:t>
            </w:r>
          </w:p>
        </w:tc>
        <w:tc>
          <w:tcPr>
            <w:tcW w:type="dxa" w:w="2736"/>
            <w:tcMar>
              <w:top w:w="80" w:type="dxa"/>
              <w:start w:w="80" w:type="dxa"/>
              <w:bottom w:w="80" w:type="dxa"/>
              <w:end w:w="80" w:type="dxa"/>
            </w:tcMar>
            <w:vAlign w:val="top"/>
          </w:tcPr>
          <w:p>
            <w:pPr>
              <w:spacing w:after="0"/>
              <w:jc w:val="left"/>
            </w:pPr>
            <w:r/>
            <w:r>
              <w:rPr>
                <w:rFonts w:ascii="Times New Roman" w:hAnsi="Times New Roman" w:eastAsia="Times New Roman"/>
                <w:sz w:val="14"/>
              </w:rPr>
              <w:t>Ingestion 201 during both; recovered=true recorded.</w:t>
            </w:r>
          </w:p>
        </w:tc>
        <w:tc>
          <w:tcPr>
            <w:tcW w:type="dxa" w:w="2880"/>
            <w:tcMar>
              <w:top w:w="80" w:type="dxa"/>
              <w:start w:w="80" w:type="dxa"/>
              <w:bottom w:w="80" w:type="dxa"/>
              <w:end w:w="80" w:type="dxa"/>
            </w:tcMar>
            <w:vAlign w:val="top"/>
          </w:tcPr>
          <w:p>
            <w:pPr>
              <w:spacing w:after="0"/>
              <w:jc w:val="left"/>
            </w:pPr>
            <w:r/>
            <w:r>
              <w:rPr>
                <w:rFonts w:ascii="Times New Roman" w:hAnsi="Times New Roman" w:eastAsia="Times New Roman"/>
                <w:sz w:val="14"/>
              </w:rPr>
              <w:t>No automated healing, message replay, or end-to-end delivery result.</w:t>
            </w:r>
          </w:p>
        </w:tc>
      </w:tr>
      <w:tr>
        <w:tc>
          <w:tcPr>
            <w:tcW w:type="dxa" w:w="1728"/>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E2E</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Synthetic Wokwi-compatible telemetry with expected analytics and alert assertions.</w:t>
            </w:r>
          </w:p>
        </w:tc>
        <w:tc>
          <w:tcPr>
            <w:tcW w:type="dxa" w:w="2736"/>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overallPassed=true; analytics 3.79 s; threshold mail capture 13.64 s.</w:t>
            </w:r>
          </w:p>
        </w:tc>
        <w:tc>
          <w:tcPr>
            <w:tcW w:type="dxa" w:w="2880"/>
            <w:shd w:fill="EEF3F8"/>
            <w:tcMar>
              <w:top w:w="80" w:type="dxa"/>
              <w:start w:w="80" w:type="dxa"/>
              <w:bottom w:w="80" w:type="dxa"/>
              <w:end w:w="80" w:type="dxa"/>
            </w:tcMar>
            <w:vAlign w:val="top"/>
          </w:tcPr>
          <w:p>
            <w:pPr>
              <w:spacing w:after="0"/>
              <w:jc w:val="left"/>
            </w:pPr>
            <w:r/>
            <w:r>
              <w:rPr>
                <w:rFonts w:ascii="Times New Roman" w:hAnsi="Times New Roman" w:eastAsia="Times New Roman"/>
                <w:sz w:val="14"/>
              </w:rPr>
              <w:t>Synthetic/polling-bounded local functional observations.</w:t>
            </w:r>
          </w:p>
        </w:tc>
      </w:tr>
    </w:tbl>
    <w:p>
      <w:pPr>
        <w:spacing w:after="20"/>
      </w:pPr>
    </w:p>
    <w:p>
      <w:pPr>
        <w:pStyle w:val="Heading1"/>
        <w:jc w:val="left"/>
        <w:keepNext/>
      </w:pPr>
      <w:r>
        <w:rPr>
          <w:rFonts w:ascii="Times New Roman" w:hAnsi="Times New Roman" w:eastAsia="Times New Roman"/>
          <w:b/>
          <w:color w:val="17365D"/>
          <w:sz w:val="24"/>
        </w:rPr>
        <w:t>6. Reviewer Risk Report</w:t>
      </w:r>
    </w:p>
    <w:p>
      <w:pPr>
        <w:keepLines/>
      </w:pPr>
      <w:r>
        <w:rPr>
          <w:rFonts w:ascii="Times New Roman" w:hAnsi="Times New Roman" w:eastAsia="Times New Roman"/>
          <w:i w:val="0"/>
        </w:rPr>
        <w:t>The following are legitimate weaknesses, not defects to conceal. They were retained as limitations or claim boundaries in the revised manuscript.</w:t>
      </w:r>
    </w:p>
    <w:p>
      <w:pPr>
        <w:spacing w:before="40" w:after="120"/>
        <w:jc w:val="center"/>
      </w:pPr>
      <w:r>
        <w:rPr>
          <w:rFonts w:ascii="Times New Roman" w:hAnsi="Times New Roman" w:eastAsia="Times New Roman"/>
          <w:i/>
          <w:sz w:val="17"/>
        </w:rPr>
        <w:t>TABLE A5. Reviewer questions and safe response</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3240"/>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Likely question</w:t>
            </w:r>
          </w:p>
        </w:tc>
        <w:tc>
          <w:tcPr>
            <w:tcW w:type="dxa" w:w="6984"/>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Evidence-based response / action</w:t>
            </w:r>
          </w:p>
        </w:tc>
      </w:tr>
      <w:tr>
        <w:tc>
          <w:tcPr>
            <w:tcW w:type="dxa" w:w="3240"/>
            <w:tcMar>
              <w:top w:w="80" w:type="dxa"/>
              <w:start w:w="80" w:type="dxa"/>
              <w:bottom w:w="80" w:type="dxa"/>
              <w:end w:w="80" w:type="dxa"/>
            </w:tcMar>
            <w:vAlign w:val="top"/>
          </w:tcPr>
          <w:p>
            <w:pPr>
              <w:spacing w:after="0"/>
              <w:jc w:val="left"/>
            </w:pPr>
            <w:r/>
            <w:r>
              <w:rPr>
                <w:rFonts w:ascii="Times New Roman" w:hAnsi="Times New Roman" w:eastAsia="Times New Roman"/>
                <w:sz w:val="16"/>
              </w:rPr>
              <w:t>Is this a physical smart-meter study?</w:t>
            </w:r>
          </w:p>
        </w:tc>
        <w:tc>
          <w:tcPr>
            <w:tcW w:type="dxa" w:w="6984"/>
            <w:tcMar>
              <w:top w:w="80" w:type="dxa"/>
              <w:start w:w="80" w:type="dxa"/>
              <w:bottom w:w="80" w:type="dxa"/>
              <w:end w:w="80" w:type="dxa"/>
            </w:tcMar>
            <w:vAlign w:val="top"/>
          </w:tcPr>
          <w:p>
            <w:pPr>
              <w:spacing w:after="0"/>
              <w:jc w:val="left"/>
            </w:pPr>
            <w:r/>
            <w:r>
              <w:rPr>
                <w:rFonts w:ascii="Times New Roman" w:hAnsi="Times New Roman" w:eastAsia="Times New Roman"/>
                <w:sz w:val="16"/>
              </w:rPr>
              <w:t>No. Wokwi and REST records are simulated. The manuscript explicitly avoids meter-accuracy, bill-accuracy, and field-deployment claims.</w:t>
            </w:r>
          </w:p>
        </w:tc>
      </w:tr>
      <w:tr>
        <w:tc>
          <w:tcPr>
            <w:tcW w:type="dxa" w:w="324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Are ML metrics valid for Wokwi or homes?</w:t>
            </w:r>
          </w:p>
        </w:tc>
        <w:tc>
          <w:tcPr>
            <w:tcW w:type="dxa" w:w="6984"/>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Only for the retained held-out CSV interval. Dataset provenance/labels are undocumented, runtime features are partly imputed, and simulator values may exceed the training range.</w:t>
            </w:r>
          </w:p>
        </w:tc>
      </w:tr>
      <w:tr>
        <w:tc>
          <w:tcPr>
            <w:tcW w:type="dxa" w:w="3240"/>
            <w:tcMar>
              <w:top w:w="80" w:type="dxa"/>
              <w:start w:w="80" w:type="dxa"/>
              <w:bottom w:w="80" w:type="dxa"/>
              <w:end w:w="80" w:type="dxa"/>
            </w:tcMar>
            <w:vAlign w:val="top"/>
          </w:tcPr>
          <w:p>
            <w:pPr>
              <w:spacing w:after="0"/>
              <w:jc w:val="left"/>
            </w:pPr>
            <w:r/>
            <w:r>
              <w:rPr>
                <w:rFonts w:ascii="Times New Roman" w:hAnsi="Times New Roman" w:eastAsia="Times New Roman"/>
                <w:sz w:val="16"/>
              </w:rPr>
              <w:t>Does 450 requests prove scalability?</w:t>
            </w:r>
          </w:p>
        </w:tc>
        <w:tc>
          <w:tcPr>
            <w:tcW w:type="dxa" w:w="6984"/>
            <w:tcMar>
              <w:top w:w="80" w:type="dxa"/>
              <w:start w:w="80" w:type="dxa"/>
              <w:bottom w:w="80" w:type="dxa"/>
              <w:end w:w="80" w:type="dxa"/>
            </w:tcMar>
            <w:vAlign w:val="top"/>
          </w:tcPr>
          <w:p>
            <w:pPr>
              <w:spacing w:after="0"/>
              <w:jc w:val="left"/>
            </w:pPr>
            <w:r/>
            <w:r>
              <w:rPr>
                <w:rFonts w:ascii="Times New Roman" w:hAnsi="Times New Roman" w:eastAsia="Times New Roman"/>
                <w:sz w:val="16"/>
              </w:rPr>
              <w:t>No. It is a single-host local k6 scenario with a reported p95, not a cloud or distributed capacity study.</w:t>
            </w:r>
          </w:p>
        </w:tc>
      </w:tr>
      <w:tr>
        <w:tc>
          <w:tcPr>
            <w:tcW w:type="dxa" w:w="324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Do the service-stop tests prove fault tolerance?</w:t>
            </w:r>
          </w:p>
        </w:tc>
        <w:tc>
          <w:tcPr>
            <w:tcW w:type="dxa" w:w="6984"/>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No. They only show accepted ingress during two component stops and manual restoration of the stopped containers.</w:t>
            </w:r>
          </w:p>
        </w:tc>
      </w:tr>
      <w:tr>
        <w:tc>
          <w:tcPr>
            <w:tcW w:type="dxa" w:w="3240"/>
            <w:tcMar>
              <w:top w:w="80" w:type="dxa"/>
              <w:start w:w="80" w:type="dxa"/>
              <w:bottom w:w="80" w:type="dxa"/>
              <w:end w:w="80" w:type="dxa"/>
            </w:tcMar>
            <w:vAlign w:val="top"/>
          </w:tcPr>
          <w:p>
            <w:pPr>
              <w:spacing w:after="0"/>
              <w:jc w:val="left"/>
            </w:pPr>
            <w:r/>
            <w:r>
              <w:rPr>
                <w:rFonts w:ascii="Times New Roman" w:hAnsi="Times New Roman" w:eastAsia="Times New Roman"/>
                <w:sz w:val="16"/>
              </w:rPr>
              <w:t>Does Keycloak prove full security?</w:t>
            </w:r>
          </w:p>
        </w:tc>
        <w:tc>
          <w:tcPr>
            <w:tcW w:type="dxa" w:w="6984"/>
            <w:tcMar>
              <w:top w:w="80" w:type="dxa"/>
              <w:start w:w="80" w:type="dxa"/>
              <w:bottom w:w="80" w:type="dxa"/>
              <w:end w:w="80" w:type="dxa"/>
            </w:tcMar>
            <w:vAlign w:val="top"/>
          </w:tcPr>
          <w:p>
            <w:pPr>
              <w:spacing w:after="0"/>
              <w:jc w:val="left"/>
            </w:pPr>
            <w:r/>
            <w:r>
              <w:rPr>
                <w:rFonts w:ascii="Times New Roman" w:hAnsi="Times New Roman" w:eastAsia="Times New Roman"/>
                <w:sz w:val="16"/>
              </w:rPr>
              <w:t>No. It demonstrates the eight tested gateway authentication/authorization cases under local conditions.</w:t>
            </w:r>
          </w:p>
        </w:tc>
      </w:tr>
      <w:tr>
        <w:tc>
          <w:tcPr>
            <w:tcW w:type="dxa" w:w="3240"/>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Does Mailpit prove notification delivery?</w:t>
            </w:r>
          </w:p>
        </w:tc>
        <w:tc>
          <w:tcPr>
            <w:tcW w:type="dxa" w:w="6984"/>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It proves local mail-sink capture only, not external SMTP reliability.</w:t>
            </w:r>
          </w:p>
        </w:tc>
      </w:tr>
      <w:tr>
        <w:tc>
          <w:tcPr>
            <w:tcW w:type="dxa" w:w="3240"/>
            <w:tcMar>
              <w:top w:w="80" w:type="dxa"/>
              <w:start w:w="80" w:type="dxa"/>
              <w:bottom w:w="80" w:type="dxa"/>
              <w:end w:w="80" w:type="dxa"/>
            </w:tcMar>
            <w:vAlign w:val="top"/>
          </w:tcPr>
          <w:p>
            <w:pPr>
              <w:spacing w:after="0"/>
              <w:jc w:val="left"/>
            </w:pPr>
            <w:r/>
            <w:r>
              <w:rPr>
                <w:rFonts w:ascii="Times New Roman" w:hAnsi="Times New Roman" w:eastAsia="Times New Roman"/>
                <w:sz w:val="16"/>
              </w:rPr>
              <w:t>Is this a novel algorithm?</w:t>
            </w:r>
          </w:p>
        </w:tc>
        <w:tc>
          <w:tcPr>
            <w:tcW w:type="dxa" w:w="6984"/>
            <w:tcMar>
              <w:top w:w="80" w:type="dxa"/>
              <w:start w:w="80" w:type="dxa"/>
              <w:bottom w:w="80" w:type="dxa"/>
              <w:end w:w="80" w:type="dxa"/>
            </w:tcMar>
            <w:vAlign w:val="top"/>
          </w:tcPr>
          <w:p>
            <w:pPr>
              <w:spacing w:after="0"/>
              <w:jc w:val="left"/>
            </w:pPr>
            <w:r/>
            <w:r>
              <w:rPr>
                <w:rFonts w:ascii="Times New Roman" w:hAnsi="Times New Roman" w:eastAsia="Times New Roman"/>
                <w:sz w:val="16"/>
              </w:rPr>
              <w:t>No new ML algorithm is claimed. The contribution is evidence-bounded integration and evaluation of existing components.</w:t>
            </w:r>
          </w:p>
        </w:tc>
      </w:tr>
    </w:tbl>
    <w:p>
      <w:pPr>
        <w:spacing w:after="20"/>
      </w:pPr>
    </w:p>
    <w:p>
      <w:pPr>
        <w:pStyle w:val="Heading1"/>
        <w:jc w:val="left"/>
        <w:keepNext/>
      </w:pPr>
      <w:r>
        <w:rPr>
          <w:rFonts w:ascii="Times New Roman" w:hAnsi="Times New Roman" w:eastAsia="Times New Roman"/>
          <w:b/>
          <w:color w:val="17365D"/>
          <w:sz w:val="24"/>
        </w:rPr>
        <w:t>7. Claims That Must Not Be Made</w:t>
      </w:r>
    </w:p>
    <w:p>
      <w:pPr>
        <w:pStyle w:val="ListBullet"/>
        <w:ind w:left="255" w:hanging="142"/>
      </w:pPr>
      <w:r>
        <w:rPr>
          <w:rFonts w:ascii="Times New Roman" w:hAnsi="Times New Roman" w:eastAsia="Times New Roman"/>
          <w:sz w:val="19"/>
        </w:rPr>
        <w:t>“Real-time” without a qualified functional-observation context.</w:t>
      </w:r>
    </w:p>
    <w:p>
      <w:pPr>
        <w:pStyle w:val="ListBullet"/>
        <w:ind w:left="255" w:hanging="142"/>
      </w:pPr>
      <w:r>
        <w:rPr>
          <w:rFonts w:ascii="Times New Roman" w:hAnsi="Times New Roman" w:eastAsia="Times New Roman"/>
          <w:sz w:val="19"/>
        </w:rPr>
        <w:t>“Production ready,” “fully secure,” “fault tolerant,” or “highly scalable.”</w:t>
      </w:r>
    </w:p>
    <w:p>
      <w:pPr>
        <w:pStyle w:val="ListBullet"/>
        <w:ind w:left="255" w:hanging="142"/>
      </w:pPr>
      <w:r>
        <w:rPr>
          <w:rFonts w:ascii="Times New Roman" w:hAnsi="Times New Roman" w:eastAsia="Times New Roman"/>
          <w:sz w:val="19"/>
        </w:rPr>
        <w:t>Physical-meter accuracy, utility-bill accuracy, appliance-level ground truth, or external email delivery.</w:t>
      </w:r>
    </w:p>
    <w:p>
      <w:pPr>
        <w:pStyle w:val="ListBullet"/>
        <w:ind w:left="255" w:hanging="142"/>
      </w:pPr>
      <w:r>
        <w:rPr>
          <w:rFonts w:ascii="Times New Roman" w:hAnsi="Times New Roman" w:eastAsia="Times New Roman"/>
          <w:sz w:val="19"/>
        </w:rPr>
        <w:t>Wokwi or household anomaly-detection accuracy derived from the offline CSV metrics.</w:t>
      </w:r>
    </w:p>
    <w:p>
      <w:pPr>
        <w:pStyle w:val="ListBullet"/>
        <w:ind w:left="255" w:hanging="142"/>
      </w:pPr>
      <w:r>
        <w:rPr>
          <w:rFonts w:ascii="Times New Roman" w:hAnsi="Times New Roman" w:eastAsia="Times New Roman"/>
          <w:sz w:val="19"/>
        </w:rPr>
        <w:t>Automatic recovery, Kafka replay, or end-to-end delivery after the recorded fault scenarios.</w:t>
      </w:r>
    </w:p>
    <w:p>
      <w:pPr>
        <w:pStyle w:val="ListBullet"/>
        <w:ind w:left="255" w:hanging="142"/>
      </w:pPr>
      <w:r>
        <w:rPr>
          <w:rFonts w:ascii="Times New Roman" w:hAnsi="Times New Roman" w:eastAsia="Times New Roman"/>
          <w:sz w:val="19"/>
        </w:rPr>
        <w:t>ML runtime latency, Kafka lag, distributed tracing, or alert-suppression rates not recorded in the evidence.</w:t>
      </w:r>
    </w:p>
    <w:p>
      <w:pPr>
        <w:pStyle w:val="ListBullet"/>
        <w:ind w:left="255" w:hanging="142"/>
      </w:pPr>
      <w:r>
        <w:rPr>
          <w:rFonts w:ascii="Times New Roman" w:hAnsi="Times New Roman" w:eastAsia="Times New Roman"/>
          <w:sz w:val="19"/>
        </w:rPr>
        <w:t>A combined post-fix test total that merges historical and later test suites into one fresh run.</w:t>
      </w:r>
    </w:p>
    <w:p>
      <w:pPr>
        <w:pStyle w:val="Heading1"/>
        <w:jc w:val="left"/>
        <w:keepNext/>
      </w:pPr>
      <w:r>
        <w:rPr>
          <w:rFonts w:ascii="Times New Roman" w:hAnsi="Times New Roman" w:eastAsia="Times New Roman"/>
          <w:b/>
          <w:color w:val="17365D"/>
          <w:sz w:val="24"/>
        </w:rPr>
        <w:t>8. Final Quality Gate</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3888"/>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Quality gate</w:t>
            </w:r>
          </w:p>
        </w:tc>
        <w:tc>
          <w:tcPr>
            <w:tcW w:type="dxa" w:w="6192"/>
            <w:shd w:fill="17365D"/>
            <w:tcMar>
              <w:top w:w="80" w:type="dxa"/>
              <w:start w:w="80" w:type="dxa"/>
              <w:bottom w:w="80" w:type="dxa"/>
              <w:end w:w="80" w:type="dxa"/>
            </w:tcMar>
            <w:vAlign w:val="center"/>
          </w:tcPr>
          <w:p>
            <w:pPr>
              <w:jc w:val="center"/>
            </w:pPr>
            <w:r/>
            <w:r>
              <w:rPr>
                <w:rFonts w:ascii="Times New Roman" w:hAnsi="Times New Roman" w:eastAsia="Times New Roman"/>
                <w:b/>
                <w:color w:val="FFFFFF"/>
                <w:sz w:val="16"/>
              </w:rPr>
              <w:t>Result</w:t>
            </w:r>
          </w:p>
        </w:tc>
      </w:tr>
      <w:tr>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6"/>
              </w:rPr>
              <w:t>Current architecture represented</w:t>
            </w:r>
          </w:p>
        </w:tc>
        <w:tc>
          <w:tcPr>
            <w:tcW w:type="dxa" w:w="6192"/>
            <w:tcMar>
              <w:top w:w="80" w:type="dxa"/>
              <w:start w:w="80" w:type="dxa"/>
              <w:bottom w:w="80" w:type="dxa"/>
              <w:end w:w="80" w:type="dxa"/>
            </w:tcMar>
            <w:vAlign w:val="top"/>
          </w:tcPr>
          <w:p>
            <w:pPr>
              <w:spacing w:after="0"/>
              <w:jc w:val="left"/>
            </w:pPr>
            <w:r/>
            <w:r>
              <w:rPr>
                <w:rFonts w:ascii="Times New Roman" w:hAnsi="Times New Roman" w:eastAsia="Times New Roman"/>
                <w:sz w:val="16"/>
              </w:rPr>
              <w:t>Pass — Figure 1 and Section III match Compose/source.</w:t>
            </w:r>
          </w:p>
        </w:tc>
      </w:tr>
      <w:tr>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ML pipeline and metrics correct</w:t>
            </w:r>
          </w:p>
        </w:tc>
        <w:tc>
          <w:tcPr>
            <w:tcW w:type="dxa" w:w="619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 — uses held-out CSV evidence and separate runtime boundary.</w:t>
            </w:r>
          </w:p>
        </w:tc>
      </w:tr>
      <w:tr>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6"/>
              </w:rPr>
              <w:t>Dataset details verified</w:t>
            </w:r>
          </w:p>
        </w:tc>
        <w:tc>
          <w:tcPr>
            <w:tcW w:type="dxa" w:w="6192"/>
            <w:tcMar>
              <w:top w:w="80" w:type="dxa"/>
              <w:start w:w="80" w:type="dxa"/>
              <w:bottom w:w="80" w:type="dxa"/>
              <w:end w:w="80" w:type="dxa"/>
            </w:tcMar>
            <w:vAlign w:val="top"/>
          </w:tcPr>
          <w:p>
            <w:pPr>
              <w:spacing w:after="0"/>
              <w:jc w:val="left"/>
            </w:pPr>
            <w:r/>
            <w:r>
              <w:rPr>
                <w:rFonts w:ascii="Times New Roman" w:hAnsi="Times New Roman" w:eastAsia="Times New Roman"/>
                <w:sz w:val="16"/>
              </w:rPr>
              <w:t>Pass with limitation — source/licence/label provenance unavailable.</w:t>
            </w:r>
          </w:p>
        </w:tc>
      </w:tr>
      <w:tr>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Security/deduplication claims bounded</w:t>
            </w:r>
          </w:p>
        </w:tc>
        <w:tc>
          <w:tcPr>
            <w:tcW w:type="dxa" w:w="619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 — describes exact local checks only.</w:t>
            </w:r>
          </w:p>
        </w:tc>
      </w:tr>
      <w:tr>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6"/>
              </w:rPr>
              <w:t>Performance/resilience claims bounded</w:t>
            </w:r>
          </w:p>
        </w:tc>
        <w:tc>
          <w:tcPr>
            <w:tcW w:type="dxa" w:w="6192"/>
            <w:tcMar>
              <w:top w:w="80" w:type="dxa"/>
              <w:start w:w="80" w:type="dxa"/>
              <w:bottom w:w="80" w:type="dxa"/>
              <w:end w:w="80" w:type="dxa"/>
            </w:tcMar>
            <w:vAlign w:val="top"/>
          </w:tcPr>
          <w:p>
            <w:pPr>
              <w:spacing w:after="0"/>
              <w:jc w:val="left"/>
            </w:pPr>
            <w:r/>
            <w:r>
              <w:rPr>
                <w:rFonts w:ascii="Times New Roman" w:hAnsi="Times New Roman" w:eastAsia="Times New Roman"/>
                <w:sz w:val="16"/>
              </w:rPr>
              <w:t>Pass — local k6 and manual-restoration limits stated.</w:t>
            </w:r>
          </w:p>
        </w:tc>
      </w:tr>
      <w:tr>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Old stale claims removed</w:t>
            </w:r>
          </w:p>
        </w:tc>
        <w:tc>
          <w:tcPr>
            <w:tcW w:type="dxa" w:w="619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 — audit list reviewed against final content.</w:t>
            </w:r>
          </w:p>
        </w:tc>
      </w:tr>
      <w:tr>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6"/>
              </w:rPr>
              <w:t>Conclusion aligned with results</w:t>
            </w:r>
          </w:p>
        </w:tc>
        <w:tc>
          <w:tcPr>
            <w:tcW w:type="dxa" w:w="6192"/>
            <w:tcMar>
              <w:top w:w="80" w:type="dxa"/>
              <w:start w:w="80" w:type="dxa"/>
              <w:bottom w:w="80" w:type="dxa"/>
              <w:end w:w="80" w:type="dxa"/>
            </w:tcMar>
            <w:vAlign w:val="top"/>
          </w:tcPr>
          <w:p>
            <w:pPr>
              <w:spacing w:after="0"/>
              <w:jc w:val="left"/>
            </w:pPr>
            <w:r/>
            <w:r>
              <w:rPr>
                <w:rFonts w:ascii="Times New Roman" w:hAnsi="Times New Roman" w:eastAsia="Times New Roman"/>
                <w:sz w:val="16"/>
              </w:rPr>
              <w:t>Pass — local integration/evaluation only.</w:t>
            </w:r>
          </w:p>
        </w:tc>
      </w:tr>
      <w:tr>
        <w:tc>
          <w:tcPr>
            <w:tcW w:type="dxa" w:w="3888"/>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No fabricated metrics</w:t>
            </w:r>
          </w:p>
        </w:tc>
        <w:tc>
          <w:tcPr>
            <w:tcW w:type="dxa" w:w="6192"/>
            <w:shd w:fill="EEF3F8"/>
            <w:tcMar>
              <w:top w:w="80" w:type="dxa"/>
              <w:start w:w="80" w:type="dxa"/>
              <w:bottom w:w="80" w:type="dxa"/>
              <w:end w:w="80" w:type="dxa"/>
            </w:tcMar>
            <w:vAlign w:val="top"/>
          </w:tcPr>
          <w:p>
            <w:pPr>
              <w:spacing w:after="0"/>
              <w:jc w:val="left"/>
            </w:pPr>
            <w:r/>
            <w:r>
              <w:rPr>
                <w:rFonts w:ascii="Times New Roman" w:hAnsi="Times New Roman" w:eastAsia="Times New Roman"/>
                <w:sz w:val="16"/>
              </w:rPr>
              <w:t>Pass — every number is from retained evidence or direct arithmetic identified in text.</w:t>
            </w:r>
          </w:p>
        </w:tc>
      </w:tr>
      <w:tr>
        <w:tc>
          <w:tcPr>
            <w:tcW w:type="dxa" w:w="3888"/>
            <w:tcMar>
              <w:top w:w="80" w:type="dxa"/>
              <w:start w:w="80" w:type="dxa"/>
              <w:bottom w:w="80" w:type="dxa"/>
              <w:end w:w="80" w:type="dxa"/>
            </w:tcMar>
            <w:vAlign w:val="top"/>
          </w:tcPr>
          <w:p>
            <w:pPr>
              <w:spacing w:after="0"/>
              <w:jc w:val="left"/>
            </w:pPr>
            <w:r/>
            <w:r>
              <w:rPr>
                <w:rFonts w:ascii="Times New Roman" w:hAnsi="Times New Roman" w:eastAsia="Times New Roman"/>
                <w:sz w:val="16"/>
              </w:rPr>
              <w:t>References</w:t>
            </w:r>
          </w:p>
        </w:tc>
        <w:tc>
          <w:tcPr>
            <w:tcW w:type="dxa" w:w="6192"/>
            <w:tcMar>
              <w:top w:w="80" w:type="dxa"/>
              <w:start w:w="80" w:type="dxa"/>
              <w:bottom w:w="80" w:type="dxa"/>
              <w:end w:w="80" w:type="dxa"/>
            </w:tcMar>
            <w:vAlign w:val="top"/>
          </w:tcPr>
          <w:p>
            <w:pPr>
              <w:spacing w:after="0"/>
              <w:jc w:val="left"/>
            </w:pPr>
            <w:r/>
            <w:r>
              <w:rPr>
                <w:rFonts w:ascii="Times New Roman" w:hAnsi="Times New Roman" w:eastAsia="Times New Roman"/>
                <w:sz w:val="16"/>
              </w:rPr>
              <w:t>Retained from the existing manuscript; no new unverified bibliographic entry was invented in this revision.</w:t>
            </w:r>
          </w:p>
        </w:tc>
      </w:tr>
    </w:tbl>
    <w:p>
      <w:pPr>
        <w:spacing w:after="20"/>
      </w:pPr>
    </w:p>
    <w:sectPr w:rsidR="00FC693F" w:rsidRPr="0006063C" w:rsidSect="00034616">
      <w:headerReference w:type="default" r:id="rId9"/>
      <w:footerReference w:type="default" r:id="rId10"/>
      <w:pgSz w:w="12240" w:h="15840"/>
      <w:pgMar w:top="935" w:right="964" w:bottom="879"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6"/>
      </w:rPr>
      <w:t>Local implementation and experimental evidence reviewed: 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3" w:color="B7C9DC"/>
      </w:pBdr>
    </w:pPr>
    <w:r>
      <w:rPr>
        <w:rFonts w:ascii="Times New Roman" w:hAnsi="Times New Roman" w:eastAsia="Times New Roman"/>
        <w:color w:val="666666"/>
        <w:sz w:val="16"/>
      </w:rPr>
      <w:t>Home Energy Tracker — Evidence-Based Final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eastAsia="Times New Roman"/>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