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color w:val="000000"/>
          <w:sz w:val="32"/>
        </w:rPr>
        <w:t>How the Review-2 Results Were Proven</w:t>
      </w:r>
    </w:p>
    <w:p>
      <w:pPr>
        <w:spacing w:after="240"/>
        <w:jc w:val="center"/>
      </w:pPr>
      <w:r>
        <w:rPr>
          <w:rFonts w:ascii="Times New Roman" w:hAnsi="Times New Roman" w:eastAsia="Times New Roman"/>
          <w:b w:val="0"/>
          <w:i/>
          <w:color w:val="000000"/>
          <w:sz w:val="21"/>
        </w:rPr>
        <w:t>Home Energy Tracker | Controlled local functional-verification record</w:t>
      </w:r>
    </w:p>
    <w:p>
      <w:pPr>
        <w:pStyle w:val="Heading1"/>
        <w:keepNext/>
        <w:spacing w:before="220" w:after="100"/>
      </w:pPr>
      <w:r>
        <w:rPr>
          <w:rFonts w:ascii="Times New Roman" w:hAnsi="Times New Roman" w:eastAsia="Times New Roman"/>
          <w:b/>
          <w:i w:val="0"/>
          <w:color w:val="000000"/>
          <w:sz w:val="24"/>
        </w:rPr>
        <w:t>1. PURPOSE AND EVIDENCE BOUNDARY</w:t>
      </w:r>
    </w:p>
    <w:p>
      <w:pPr>
        <w:spacing w:after="100" w:before="0" w:line="276" w:lineRule="auto"/>
        <w:ind w:firstLine="0"/>
        <w:jc w:val="both"/>
      </w:pPr>
      <w:r>
        <w:rPr>
          <w:rFonts w:ascii="Times New Roman" w:hAnsi="Times New Roman" w:eastAsia="Times New Roman"/>
          <w:b w:val="0"/>
          <w:i w:val="0"/>
          <w:color w:val="000000"/>
          <w:sz w:val="22"/>
        </w:rPr>
        <w:t>This document explains, step by step, how each reported Review-2 result was obtained and how it can be repeated. The recorded run used synthetic REST telemetry through the same endpoint used by the Wokwi ESP32 simulator. It proves functional flow through the implemented system; it does not prove physical-meter calibration, household-bill accuracy, AI-model accuracy, scalability, fault tolerance, or resilience.</w:t>
      </w:r>
    </w:p>
    <w:p>
      <w:pPr>
        <w:pStyle w:val="Heading1"/>
        <w:keepNext/>
        <w:spacing w:before="220" w:after="100"/>
      </w:pPr>
      <w:r>
        <w:rPr>
          <w:rFonts w:ascii="Times New Roman" w:hAnsi="Times New Roman" w:eastAsia="Times New Roman"/>
          <w:b/>
          <w:i w:val="0"/>
          <w:color w:val="000000"/>
          <w:sz w:val="24"/>
        </w:rPr>
        <w:t>2. REPRODUCIBILITY RECORD</w:t>
      </w:r>
    </w:p>
    <w:p>
      <w:pPr>
        <w:spacing w:after="120" w:before="20"/>
        <w:jc w:val="center"/>
      </w:pPr>
      <w:r>
        <w:rPr>
          <w:rFonts w:ascii="Times New Roman" w:hAnsi="Times New Roman" w:eastAsia="Times New Roman"/>
          <w:b w:val="0"/>
          <w:i/>
          <w:color w:val="000000"/>
          <w:sz w:val="18"/>
        </w:rPr>
        <w:t>Table 1. Evidence record for the controlled run.</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Item</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Recorded value</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Run identifier</w:t>
            </w:r>
          </w:p>
        </w:tc>
        <w:tc>
          <w:tcPr>
            <w:tcW w:type="dxa" w:w="74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review2-20260930-215503-375c1ea3</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Execution date</w:t>
            </w:r>
          </w:p>
        </w:tc>
        <w:tc>
          <w:tcPr>
            <w:tcW w:type="dxa" w:w="74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 September 2026 (local Docker Compose run)</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API base URL</w:t>
            </w:r>
          </w:p>
        </w:tc>
        <w:tc>
          <w:tcPr>
            <w:tcW w:type="dxa" w:w="74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http://127.0.0.1:8080/api/v1</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Gateway health</w:t>
            </w:r>
          </w:p>
        </w:tc>
        <w:tc>
          <w:tcPr>
            <w:tcW w:type="dxa" w:w="74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UP</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Raw result record</w:t>
            </w:r>
          </w:p>
        </w:tc>
        <w:tc>
          <w:tcPr>
            <w:tcW w:type="dxa" w:w="74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research-output/evidence/review2_e2e_results_20260930-215503.json</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Analytics test user/device</w:t>
            </w:r>
          </w:p>
        </w:tc>
        <w:tc>
          <w:tcPr>
            <w:tcW w:type="dxa" w:w="74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6 / Device 305 (isolated synthetic test case)</w:t>
            </w:r>
          </w:p>
        </w:tc>
      </w:tr>
      <w:t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test user/device</w:t>
            </w:r>
          </w:p>
        </w:tc>
        <w:tc>
          <w:tcPr>
            <w:tcW w:type="dxa" w:w="74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7 / Device 306 (isolated synthetic test case)</w:t>
            </w:r>
          </w:p>
        </w:tc>
      </w:tr>
      <w:tr>
        <w:tc>
          <w:tcPr>
            <w:tcW w:type="dxa" w:w="23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Data boundary</w:t>
            </w:r>
          </w:p>
        </w:tc>
        <w:tc>
          <w:tcPr>
            <w:tcW w:type="dxa" w:w="74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Synthetic test increments; no calibrated physical meter or external benchmark dataset.</w:t>
            </w:r>
          </w:p>
        </w:tc>
      </w:tr>
    </w:tbl>
    <w:p>
      <w:pPr>
        <w:spacing w:after="20"/>
      </w:pPr>
    </w:p>
    <w:p>
      <w:pPr>
        <w:pStyle w:val="Heading1"/>
        <w:keepNext/>
        <w:spacing w:before="220" w:after="100"/>
      </w:pPr>
      <w:r>
        <w:rPr>
          <w:rFonts w:ascii="Times New Roman" w:hAnsi="Times New Roman" w:eastAsia="Times New Roman"/>
          <w:b/>
          <w:i w:val="0"/>
          <w:color w:val="000000"/>
          <w:sz w:val="24"/>
        </w:rPr>
        <w:t>3. ENVIRONMENT PREPARATION</w:t>
      </w:r>
    </w:p>
    <w:p>
      <w:pPr>
        <w:pStyle w:val="ListNumber"/>
        <w:spacing w:after="60" w:line="264" w:lineRule="auto"/>
      </w:pPr>
      <w:r>
        <w:rPr>
          <w:rFonts w:ascii="Times New Roman" w:hAnsi="Times New Roman" w:eastAsia="Times New Roman"/>
          <w:b w:val="0"/>
          <w:i w:val="0"/>
          <w:color w:val="000000"/>
          <w:sz w:val="21"/>
        </w:rPr>
        <w:t>Start Docker Desktop and wait until its engine is available.</w:t>
      </w:r>
    </w:p>
    <w:p>
      <w:pPr>
        <w:pStyle w:val="ListNumber"/>
        <w:spacing w:after="60" w:line="264" w:lineRule="auto"/>
      </w:pPr>
      <w:r>
        <w:rPr>
          <w:rFonts w:ascii="Times New Roman" w:hAnsi="Times New Roman" w:eastAsia="Times New Roman"/>
          <w:b w:val="0"/>
          <w:i w:val="0"/>
          <w:color w:val="000000"/>
          <w:sz w:val="21"/>
        </w:rPr>
        <w:t>From the project directory, run docker compose up -d and wait for MySQL, Kafka, InfluxDB, Mailpit, the API Gateway, and the six Java services to complete startup.</w:t>
      </w:r>
    </w:p>
    <w:p>
      <w:pPr>
        <w:pStyle w:val="ListNumber"/>
        <w:spacing w:after="60" w:line="264" w:lineRule="auto"/>
      </w:pPr>
      <w:r>
        <w:rPr>
          <w:rFonts w:ascii="Times New Roman" w:hAnsi="Times New Roman" w:eastAsia="Times New Roman"/>
          <w:b w:val="0"/>
          <w:i w:val="0"/>
          <w:color w:val="000000"/>
          <w:sz w:val="21"/>
        </w:rPr>
        <w:t>Check GET http://127.0.0.1:8080/actuator/health. The recorded run returned status UP.</w:t>
      </w:r>
    </w:p>
    <w:p>
      <w:pPr>
        <w:pStyle w:val="ListNumber"/>
        <w:spacing w:after="60" w:line="264" w:lineRule="auto"/>
      </w:pPr>
      <w:r>
        <w:rPr>
          <w:rFonts w:ascii="Times New Roman" w:hAnsi="Times New Roman" w:eastAsia="Times New Roman"/>
          <w:b w:val="0"/>
          <w:i w:val="0"/>
          <w:color w:val="000000"/>
          <w:sz w:val="21"/>
        </w:rPr>
        <w:t>Run Maven tests using the project-local Maven cache. The recorded execution discovered 19 tests across six services; 16 executed with zero failures and zero errors, while 3 were marked skipped.</w:t>
      </w:r>
    </w:p>
    <w:p>
      <w:pPr>
        <w:spacing w:after="100" w:before="0" w:line="276" w:lineRule="auto"/>
        <w:ind w:firstLine="0"/>
        <w:jc w:val="both"/>
      </w:pPr>
      <w:r>
        <w:rPr>
          <w:rFonts w:ascii="Times New Roman" w:hAnsi="Times New Roman" w:eastAsia="Times New Roman"/>
          <w:b w:val="0"/>
          <w:i w:val="0"/>
          <w:color w:val="000000"/>
          <w:sz w:val="22"/>
        </w:rPr>
        <w:t>The implementation services used in the evidence chain were User, Device, Ingestion, Usage, Insight, and Alert. Kafka transferred ingestion events; InfluxDB stored time-series points; MySQL stored metadata and alerts; Mailpit captured local email output.</w:t>
      </w:r>
    </w:p>
    <w:p>
      <w:pPr>
        <w:pStyle w:val="Heading1"/>
        <w:keepNext/>
        <w:spacing w:before="220" w:after="100"/>
      </w:pPr>
      <w:r>
        <w:rPr>
          <w:rFonts w:ascii="Times New Roman" w:hAnsi="Times New Roman" w:eastAsia="Times New Roman"/>
          <w:b/>
          <w:i w:val="0"/>
          <w:color w:val="000000"/>
          <w:sz w:val="24"/>
        </w:rPr>
        <w:t>4. CONTROLLED ANALYTICS CASE</w:t>
      </w:r>
    </w:p>
    <w:p>
      <w:pPr>
        <w:spacing w:after="100" w:before="0" w:line="276" w:lineRule="auto"/>
        <w:ind w:firstLine="0"/>
        <w:jc w:val="both"/>
      </w:pPr>
      <w:r>
        <w:rPr>
          <w:rFonts w:ascii="Times New Roman" w:hAnsi="Times New Roman" w:eastAsia="Times New Roman"/>
          <w:b w:val="0"/>
          <w:i w:val="0"/>
          <w:color w:val="000000"/>
          <w:sz w:val="22"/>
        </w:rPr>
        <w:t>A fresh user was created with alerting disabled and a very high threshold to ensure that the analytics case could not create threshold alerts. A single GENERAL device (Device 305) was registered for this user. Three accepted ingestion requests were then sent.</w:t>
      </w:r>
    </w:p>
    <w:p>
      <w:pPr>
        <w:spacing w:after="120" w:before="20"/>
        <w:jc w:val="center"/>
      </w:pPr>
      <w:r>
        <w:rPr>
          <w:rFonts w:ascii="Times New Roman" w:hAnsi="Times New Roman" w:eastAsia="Times New Roman"/>
          <w:b w:val="0"/>
          <w:i/>
          <w:color w:val="000000"/>
          <w:sz w:val="18"/>
        </w:rPr>
        <w:t>Table 2. Synthetic inputs accepted by the ingestion API.</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Device</w:t>
            </w:r>
          </w:p>
        </w:tc>
        <w:tc>
          <w:tcPr>
            <w:tcW w:type="dxa" w:w="33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Timestamp (UTC)</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energyConsumed</w:t>
            </w:r>
          </w:p>
        </w:tc>
        <w:tc>
          <w:tcPr>
            <w:tcW w:type="dxa" w:w="16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HTTP status</w:t>
            </w:r>
          </w:p>
        </w:tc>
      </w:tr>
      <w:tr>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305</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2026-09-30T16:25:03.929Z</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0.25 kWh</w:t>
            </w:r>
          </w:p>
        </w:tc>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201 Created</w:t>
            </w:r>
          </w:p>
        </w:tc>
      </w:tr>
      <w:tr>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305</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2026-09-30T16:25:04.032Z</w:t>
            </w:r>
          </w:p>
        </w:tc>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0.50 kWh</w:t>
            </w:r>
          </w:p>
        </w:tc>
        <w:tc>
          <w:tcPr>
            <w:tcW w:type="dxa" w:w="16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201 Created</w:t>
            </w:r>
          </w:p>
        </w:tc>
      </w:tr>
      <w:tr>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305</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2026-09-30T16:25:04.078Z</w:t>
            </w:r>
          </w:p>
        </w:tc>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0.75 kWh</w:t>
            </w:r>
          </w:p>
        </w:tc>
        <w:tc>
          <w:tcPr>
            <w:tcW w:type="dxa" w:w="16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201 Created</w:t>
            </w:r>
          </w:p>
        </w:tc>
      </w:tr>
    </w:tbl>
    <w:p>
      <w:pPr>
        <w:spacing w:after="20"/>
      </w:pPr>
    </w:p>
    <w:p>
      <w:pPr>
        <w:spacing w:after="100" w:before="0" w:line="276" w:lineRule="auto"/>
        <w:ind w:firstLine="0"/>
        <w:jc w:val="both"/>
      </w:pPr>
      <w:r>
        <w:rPr>
          <w:rFonts w:ascii="Times New Roman" w:hAnsi="Times New Roman" w:eastAsia="Times New Roman"/>
          <w:b w:val="0"/>
          <w:i w:val="0"/>
          <w:color w:val="000000"/>
          <w:sz w:val="22"/>
        </w:rPr>
        <w:t>The arithmetic input total was 0.25 + 0.50 + 0.75 = 1.50 kWh. The Ingestion Service logged all three EnergyUsageEvent values with the run correlation identifier. A direct InfluxDB query for the energy_usage measurement and deviceId 305 returned the same three persisted points. The Usage API then returned one device with energyConsumed = 1.50 kWh. Thus, the observed persistence total matched the submitted sum.</w:t>
      </w:r>
    </w:p>
    <w:p>
      <w:pPr>
        <w:pStyle w:val="Heading1"/>
        <w:keepNext/>
        <w:spacing w:before="220" w:after="100"/>
      </w:pPr>
      <w:r>
        <w:rPr>
          <w:rFonts w:ascii="Times New Roman" w:hAnsi="Times New Roman" w:eastAsia="Times New Roman"/>
          <w:b/>
          <w:i w:val="0"/>
          <w:color w:val="000000"/>
          <w:sz w:val="24"/>
        </w:rPr>
        <w:t>5. HOW THE ANALYTICS VALUES WERE CALCULATED</w:t>
      </w:r>
    </w:p>
    <w:p>
      <w:pPr>
        <w:spacing w:after="100" w:before="0" w:line="276" w:lineRule="auto"/>
        <w:ind w:firstLine="0"/>
        <w:jc w:val="both"/>
      </w:pPr>
      <w:r>
        <w:rPr>
          <w:rFonts w:ascii="Times New Roman" w:hAnsi="Times New Roman" w:eastAsia="Times New Roman"/>
          <w:b w:val="0"/>
          <w:i w:val="0"/>
          <w:color w:val="000000"/>
          <w:sz w:val="22"/>
        </w:rPr>
        <w:t>The Insight Service uses deterministic formulas. The selected observation window was D = 3 days. The configured tariff was a fixed monthly charge of $10.00, then 0–100 kWh at $0.12/kWh, 100–300 kWh at $0.18/kWh, and usage above 300 kWh at $0.25/kWh. Values are rounded to two decimal places using HALF_UP rounding.</w:t>
      </w:r>
    </w:p>
    <w:p>
      <w:pPr>
        <w:spacing w:after="120" w:before="20"/>
        <w:jc w:val="center"/>
      </w:pPr>
      <w:r>
        <w:rPr>
          <w:rFonts w:ascii="Times New Roman" w:hAnsi="Times New Roman" w:eastAsia="Times New Roman"/>
          <w:b w:val="0"/>
          <w:i/>
          <w:color w:val="000000"/>
          <w:sz w:val="18"/>
        </w:rPr>
        <w:t>Table 3. Formula substitution and observed response for the analytics case.</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Output</w:t>
            </w:r>
          </w:p>
        </w:tc>
        <w:tc>
          <w:tcPr>
            <w:tcW w:type="dxa" w:w="45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Formula and substitution</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Observed API value</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Match</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Total usage</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T = 0.25 + 0.50 + 0.75</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1.50 kWh</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Current cost</w:t>
            </w:r>
          </w:p>
        </w:tc>
        <w:tc>
          <w:tcPr>
            <w:tcW w:type="dxa" w:w="45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C(T) = 1.50 x $0.12</w:t>
            </w:r>
          </w:p>
        </w:tc>
        <w:tc>
          <w:tcPr>
            <w:tcW w:type="dxa" w:w="18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$0.18</w:t>
            </w:r>
          </w:p>
        </w:tc>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Daily rate</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 = T / 3 = 1.50 / 3</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0.50 kWh/day</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30-day projection</w:t>
            </w:r>
          </w:p>
        </w:tc>
        <w:tc>
          <w:tcPr>
            <w:tcW w:type="dxa" w:w="45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 = 30d = 30 x 0.50</w:t>
            </w:r>
          </w:p>
        </w:tc>
        <w:tc>
          <w:tcPr>
            <w:tcW w:type="dxa" w:w="18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15.00 kWh</w:t>
            </w:r>
          </w:p>
        </w:tc>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Projected cost</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C(P) + fixed = (15 x $0.12) + $10</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$11.80</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Device ranking</w:t>
            </w:r>
          </w:p>
        </w:tc>
        <w:tc>
          <w:tcPr>
            <w:tcW w:type="dxa" w:w="45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 x device/T = 100 x 1.50/1.50</w:t>
            </w:r>
          </w:p>
        </w:tc>
        <w:tc>
          <w:tcPr>
            <w:tcW w:type="dxa" w:w="18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100.00%</w:t>
            </w:r>
          </w:p>
        </w:tc>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baseline</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round(0.20 x (T/(3 x 24)) x 1000)</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4.17 W</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daily energy</w:t>
            </w:r>
          </w:p>
        </w:tc>
        <w:tc>
          <w:tcPr>
            <w:tcW w:type="dxa" w:w="45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round(4.17 x 24 / 1000)</w:t>
            </w:r>
          </w:p>
        </w:tc>
        <w:tc>
          <w:tcPr>
            <w:tcW w:type="dxa" w:w="18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0.10 kWh</w:t>
            </w:r>
          </w:p>
        </w:tc>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monthly energy</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round(0.10 x 30)</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3.00 kWh</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cost</w:t>
            </w:r>
          </w:p>
        </w:tc>
        <w:tc>
          <w:tcPr>
            <w:tcW w:type="dxa" w:w="45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C(3.00) = 3.00 x $0.12</w:t>
            </w:r>
          </w:p>
        </w:tc>
        <w:tc>
          <w:tcPr>
            <w:tcW w:type="dxa" w:w="18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$0.36</w:t>
            </w:r>
          </w:p>
        </w:tc>
        <w:tc>
          <w:tcPr>
            <w:tcW w:type="dxa" w:w="10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Standby risk</w:t>
            </w:r>
          </w:p>
        </w:tc>
        <w:tc>
          <w:tcPr>
            <w:tcW w:type="dxa" w:w="45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LOW when baseline &lt;= 50 W</w:t>
            </w:r>
          </w:p>
        </w:tc>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LOW</w:t>
            </w:r>
          </w:p>
        </w:tc>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Yes</w:t>
            </w:r>
          </w:p>
        </w:tc>
      </w:tr>
    </w:tbl>
    <w:p>
      <w:pPr>
        <w:spacing w:after="20"/>
      </w:pPr>
    </w:p>
    <w:p>
      <w:pPr>
        <w:spacing w:after="100" w:before="0" w:line="276" w:lineRule="auto"/>
        <w:ind w:firstLine="0"/>
        <w:jc w:val="both"/>
      </w:pPr>
      <w:r>
        <w:rPr>
          <w:rFonts w:ascii="Times New Roman" w:hAnsi="Times New Roman" w:eastAsia="Times New Roman"/>
          <w:b w:val="0"/>
          <w:i w:val="0"/>
          <w:color w:val="000000"/>
          <w:sz w:val="22"/>
        </w:rPr>
        <w:t>The Usage, bill-forecast, appliance-ranking, and standby-detective endpoint responses all matched the independent formula calculation. The recorded availability observation was 3.72 s from the first submission until the queried outputs were available. Because the script polled every 3 s, this must be reported as a polling-bounded functional observation, not a latency benchmark.</w:t>
      </w:r>
    </w:p>
    <w:p>
      <w:pPr>
        <w:pStyle w:val="Heading1"/>
        <w:keepNext/>
        <w:spacing w:before="220" w:after="100"/>
      </w:pPr>
      <w:r>
        <w:rPr>
          <w:rFonts w:ascii="Times New Roman" w:hAnsi="Times New Roman" w:eastAsia="Times New Roman"/>
          <w:b/>
          <w:i w:val="0"/>
          <w:color w:val="000000"/>
          <w:sz w:val="24"/>
        </w:rPr>
        <w:t>6. CONTROLLED THRESHOLD-ALERT CASE</w:t>
      </w:r>
    </w:p>
    <w:p>
      <w:pPr>
        <w:spacing w:after="100" w:before="0" w:line="276" w:lineRule="auto"/>
        <w:ind w:firstLine="0"/>
        <w:jc w:val="both"/>
      </w:pPr>
      <w:r>
        <w:rPr>
          <w:rFonts w:ascii="Times New Roman" w:hAnsi="Times New Roman" w:eastAsia="Times New Roman"/>
          <w:b w:val="0"/>
          <w:i w:val="0"/>
          <w:color w:val="000000"/>
          <w:sz w:val="22"/>
        </w:rPr>
        <w:t>A second isolated user (User 7) was created with alerting enabled and a threshold of 0.10 kWh. A second device (Device 306) then sent one 1.00 kWh synthetic event. The rule evaluated by the Usage Service was 1.00 &gt; 0.10, which is true.</w:t>
      </w:r>
    </w:p>
    <w:p>
      <w:pPr>
        <w:spacing w:after="120" w:before="20"/>
        <w:jc w:val="center"/>
      </w:pPr>
      <w:r>
        <w:rPr>
          <w:rFonts w:ascii="Times New Roman" w:hAnsi="Times New Roman" w:eastAsia="Times New Roman"/>
          <w:b w:val="0"/>
          <w:i/>
          <w:color w:val="000000"/>
          <w:sz w:val="18"/>
        </w:rPr>
        <w:t>Table 4. Threshold-alert proof chain.</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Stage</w:t>
            </w:r>
          </w:p>
        </w:tc>
        <w:tc>
          <w:tcPr>
            <w:tcW w:type="dxa" w:w="72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Observed evidence</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Input</w:t>
            </w:r>
          </w:p>
        </w:tc>
        <w:tc>
          <w:tcPr>
            <w:tcW w:type="dxa" w:w="72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POST /ingestion for Device 306 with 1.00 kWh returned HTTP 201.</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Rule</w:t>
            </w:r>
          </w:p>
        </w:tc>
        <w:tc>
          <w:tcPr>
            <w:tcW w:type="dxa" w:w="72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Aggregated consumption 1.00 kWh exceeded the configured 0.10 kWh threshold.</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 service</w:t>
            </w:r>
          </w:p>
        </w:tc>
        <w:tc>
          <w:tcPr>
            <w:tcW w:type="dxa" w:w="72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 detailed alert record was persisted with message, threshold 0.1, energyConsumed 1.0, and sent=true.</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Delivery status</w:t>
            </w:r>
          </w:p>
        </w:tc>
        <w:tc>
          <w:tcPr>
            <w:tcW w:type="dxa" w:w="72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 second status-only record was created by the alert-delivery flow; this is expected behavior, not a duplicate failure.</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Mailpit</w:t>
            </w:r>
          </w:p>
        </w:tc>
        <w:tc>
          <w:tcPr>
            <w:tcW w:type="dxa" w:w="72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One local email was captured with subject ‘Energy Usage Alert for User 7’ and a snippet containing the threshold and energy value.</w:t>
            </w:r>
          </w:p>
        </w:tc>
      </w:tr>
      <w:tr>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Safety action</w:t>
            </w:r>
          </w:p>
        </w:tc>
        <w:tc>
          <w:tcPr>
            <w:tcW w:type="dxa" w:w="72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Alerting was disabled through the User API after observation; the update returned HTTP 200.</w:t>
            </w:r>
          </w:p>
        </w:tc>
      </w:tr>
    </w:tbl>
    <w:p>
      <w:pPr>
        <w:spacing w:after="20"/>
      </w:pPr>
    </w:p>
    <w:p>
      <w:pPr>
        <w:spacing w:after="100" w:before="0" w:line="276" w:lineRule="auto"/>
        <w:ind w:firstLine="0"/>
        <w:jc w:val="both"/>
      </w:pPr>
      <w:r>
        <w:rPr>
          <w:rFonts w:ascii="Times New Roman" w:hAnsi="Times New Roman" w:eastAsia="Times New Roman"/>
          <w:b w:val="0"/>
          <w:i w:val="0"/>
          <w:color w:val="000000"/>
          <w:sz w:val="22"/>
        </w:rPr>
        <w:t>The alert records were observed 5.23 s after the test submission. The scheduler runs every 10 s and the evidence script polls every 5 s, so this observation must not be presented as a stable alert-latency guarantee. Its purpose is to prove that the threshold rule and delivery chain executed in the configured environment.</w:t>
      </w:r>
    </w:p>
    <w:p>
      <w:pPr>
        <w:pStyle w:val="Heading1"/>
        <w:keepNext/>
        <w:spacing w:before="220" w:after="100"/>
      </w:pPr>
      <w:r>
        <w:rPr>
          <w:rFonts w:ascii="Times New Roman" w:hAnsi="Times New Roman" w:eastAsia="Times New Roman"/>
          <w:b/>
          <w:i w:val="0"/>
          <w:color w:val="000000"/>
          <w:sz w:val="24"/>
        </w:rPr>
        <w:t>7. AUTOMATED TEST EVIDENCE</w:t>
      </w:r>
    </w:p>
    <w:p>
      <w:pPr>
        <w:spacing w:after="120" w:before="20"/>
        <w:jc w:val="center"/>
      </w:pPr>
      <w:r>
        <w:rPr>
          <w:rFonts w:ascii="Times New Roman" w:hAnsi="Times New Roman" w:eastAsia="Times New Roman"/>
          <w:b w:val="0"/>
          <w:i/>
          <w:color w:val="000000"/>
          <w:sz w:val="18"/>
        </w:rPr>
        <w:t>Table 5. Unit-test outcomes used as supplementary evidence.</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Suite</w:t>
            </w:r>
          </w:p>
        </w:tc>
        <w:tc>
          <w:tcPr>
            <w:tcW w:type="dxa" w:w="46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Evidence verified</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jc w:val="center"/>
            </w:pPr>
            <w:r/>
            <w:r>
              <w:rPr>
                <w:rFonts w:ascii="Times New Roman" w:hAnsi="Times New Roman" w:eastAsia="Times New Roman"/>
                <w:b/>
                <w:i w:val="0"/>
                <w:color w:val="FFFFFF"/>
                <w:sz w:val="17"/>
              </w:rPr>
              <w:t>Outcome</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BillCalculationServiceTest</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Fixed charge, three tariff slabs, 30-day projection, and baseline-watt helper.</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7 tests passed.</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InsightServiceTest</w:t>
            </w:r>
          </w:p>
        </w:tc>
        <w:tc>
          <w:tcPr>
            <w:tcW w:type="dxa" w:w="46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Forecast aggregation, descending appliance ranking, standby response presence, and deterministic fallback when Ollama fails.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4 tests passed.</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Application-context tests</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User, Device, Ingestion, Usage, Alert, and Insight Spring contexts.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8 discovered: 5 passed, 3 skipped, 0 failures/errors.</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All recorded service tests</w:t>
            </w:r>
          </w:p>
        </w:tc>
        <w:tc>
          <w:tcPr>
            <w:tcW w:type="dxa" w:w="46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19 discovered across the six services.</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0" w:line="240" w:lineRule="auto"/>
              <w:jc w:val="left"/>
            </w:pPr>
            <w:r/>
            <w:r>
              <w:rPr>
                <w:rFonts w:ascii="Times New Roman" w:hAnsi="Times New Roman" w:eastAsia="Times New Roman"/>
                <w:b w:val="0"/>
                <w:i w:val="0"/>
                <w:color w:val="000000"/>
                <w:sz w:val="16"/>
              </w:rPr>
              <w:t>16 executed with 0 failures and 0 errors; 3 skipped.</w:t>
            </w:r>
          </w:p>
        </w:tc>
      </w:tr>
    </w:tbl>
    <w:p>
      <w:pPr>
        <w:spacing w:after="20"/>
      </w:pPr>
    </w:p>
    <w:p>
      <w:pPr>
        <w:pStyle w:val="Heading1"/>
        <w:keepNext/>
        <w:spacing w:before="220" w:after="100"/>
      </w:pPr>
      <w:r>
        <w:rPr>
          <w:rFonts w:ascii="Times New Roman" w:hAnsi="Times New Roman" w:eastAsia="Times New Roman"/>
          <w:b/>
          <w:i w:val="0"/>
          <w:color w:val="000000"/>
          <w:sz w:val="24"/>
        </w:rPr>
        <w:t>8. HOW TO REPEAT THE RUN</w:t>
      </w:r>
    </w:p>
    <w:p>
      <w:pPr>
        <w:spacing w:after="100" w:before="0" w:line="276" w:lineRule="auto"/>
        <w:ind w:firstLine="0"/>
        <w:jc w:val="both"/>
      </w:pPr>
      <w:r>
        <w:rPr>
          <w:rFonts w:ascii="Times New Roman" w:hAnsi="Times New Roman" w:eastAsia="Times New Roman"/>
          <w:b w:val="0"/>
          <w:i w:val="0"/>
          <w:color w:val="000000"/>
          <w:sz w:val="22"/>
        </w:rPr>
        <w:t>The project includes tools/run_review2_e2e_verification.ps1. From the project root, start the Compose stack and execute the script in PowerShell. It creates fresh test identities and writes a timestamped JSON record under research-output/evidence/. Compare the returned values against Table 3 and confirm that all passed fields are true. The script disables alerting after the alert observation to prevent repeated scheduler-driven notifications.</w:t>
      </w:r>
    </w:p>
    <w:p>
      <w:pPr>
        <w:spacing w:after="160"/>
        <w:jc w:val="left"/>
      </w:pPr>
      <w:r>
        <w:rPr>
          <w:rFonts w:ascii="Consolas" w:hAnsi="Consolas" w:eastAsia="Consolas"/>
          <w:b w:val="0"/>
          <w:i w:val="0"/>
          <w:color w:val="000000"/>
          <w:sz w:val="19"/>
        </w:rPr>
        <w:t>docker compose up -d</w:t>
        <w:br/>
        <w:t>.\tools\run_review2_e2e_verification.ps1</w:t>
      </w:r>
    </w:p>
    <w:p>
      <w:pPr>
        <w:pStyle w:val="Heading1"/>
        <w:keepNext/>
        <w:spacing w:before="220" w:after="100"/>
      </w:pPr>
      <w:r>
        <w:rPr>
          <w:rFonts w:ascii="Times New Roman" w:hAnsi="Times New Roman" w:eastAsia="Times New Roman"/>
          <w:b/>
          <w:i w:val="0"/>
          <w:color w:val="000000"/>
          <w:sz w:val="24"/>
        </w:rPr>
        <w:t>9. CLAIMS THAT THIS EVIDENCE DOES NOT SUPPORT</w:t>
      </w:r>
    </w:p>
    <w:p>
      <w:pPr>
        <w:pStyle w:val="ListBullet"/>
        <w:spacing w:after="40" w:line="252" w:lineRule="auto"/>
      </w:pPr>
      <w:r>
        <w:rPr>
          <w:rFonts w:ascii="Times New Roman" w:hAnsi="Times New Roman" w:eastAsia="Times New Roman"/>
          <w:b w:val="0"/>
          <w:i w:val="0"/>
          <w:color w:val="000000"/>
          <w:sz w:val="21"/>
        </w:rPr>
        <w:t>No calibrated sensor or physical utility-meter comparison was used; the values are synthetic test increments.</w:t>
      </w:r>
    </w:p>
    <w:p>
      <w:pPr>
        <w:pStyle w:val="ListBullet"/>
        <w:spacing w:after="40" w:line="252" w:lineRule="auto"/>
      </w:pPr>
      <w:r>
        <w:rPr>
          <w:rFonts w:ascii="Times New Roman" w:hAnsi="Times New Roman" w:eastAsia="Times New Roman"/>
          <w:b w:val="0"/>
          <w:i w:val="0"/>
          <w:color w:val="000000"/>
          <w:sz w:val="21"/>
        </w:rPr>
        <w:t>No machine-learning model, labelled anomaly dataset, train/test split, accuracy, precision, recall, or F1-score was evaluated.</w:t>
      </w:r>
    </w:p>
    <w:p>
      <w:pPr>
        <w:pStyle w:val="ListBullet"/>
        <w:spacing w:after="40" w:line="252" w:lineRule="auto"/>
      </w:pPr>
      <w:r>
        <w:rPr>
          <w:rFonts w:ascii="Times New Roman" w:hAnsi="Times New Roman" w:eastAsia="Times New Roman"/>
          <w:b w:val="0"/>
          <w:i w:val="0"/>
          <w:color w:val="000000"/>
          <w:sz w:val="21"/>
        </w:rPr>
        <w:t>The single-run availability and alert-observation times are not throughput, scalability, or latency benchmarks.</w:t>
      </w:r>
    </w:p>
    <w:p>
      <w:pPr>
        <w:pStyle w:val="ListBullet"/>
        <w:spacing w:after="40" w:line="252" w:lineRule="auto"/>
      </w:pPr>
      <w:r>
        <w:rPr>
          <w:rFonts w:ascii="Times New Roman" w:hAnsi="Times New Roman" w:eastAsia="Times New Roman"/>
          <w:b w:val="0"/>
          <w:i w:val="0"/>
          <w:color w:val="000000"/>
          <w:sz w:val="21"/>
        </w:rPr>
        <w:t>No fault injection, service-recovery, multi-node Kafka, authentication, authorization, cloud TLS, or privacy study was performed.</w:t>
      </w:r>
    </w:p>
    <w:p>
      <w:pPr>
        <w:pStyle w:val="ListBullet"/>
        <w:spacing w:after="40" w:line="252" w:lineRule="auto"/>
      </w:pPr>
      <w:r>
        <w:rPr>
          <w:rFonts w:ascii="Times New Roman" w:hAnsi="Times New Roman" w:eastAsia="Times New Roman"/>
          <w:b w:val="0"/>
          <w:i w:val="0"/>
          <w:color w:val="000000"/>
          <w:sz w:val="21"/>
        </w:rPr>
        <w:t>The standby value is a fixed 20% average-load heuristic, not verified appliance-level standby consumption.</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