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Digital Scientist 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AI Drug Discovery System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Technical Interview Reference — 30 Questions Condensed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System Architecture &amp; Data Flow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is the end-to-end pipeline architecture?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Five-stage pipeline: Disease name → Biological targets → Chemical compounds → Drug-like filter → AI scoring → LLM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1 — Open Targets API: Disease name → EFO ID → top proteins (targets) with evidence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2 — ChEMBL API: Targets → tested chemical compounds (pChEMBL ≥ 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3 — Lipinski filter (RDKit): Remove molecules violating Rule of Five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4 — BioactivityNet (PyTorch): Score remaining compounds; output 0–1 activity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5 — Gemini LLM: Generate plain-language summaries of top candidates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Entry points: CLI (main.py) and Streamlit UI (app.py). Orchestrator: pipeline.py.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Open Targets before ChEMBL?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Targets converts vague disease names into specific protein targets backed by genetic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Searching ChEMBL directly without targets would return millions of irrelevant compounds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Filtering to top 7 targets (score ≥ 0.6, genetic evidence ≥ 0.2) keeps results scientifically focused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Q5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GraphQL for Open Targets but REST for ChEMBL?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 Targets has deeply nested data (disease → many targets → many properties) — GraphQL fetches all in one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ChEMBL has flat, simple endpoints; standard REST calls are faster to implement and sufficient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Design principle: use the protocol each API is designed for.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Data Collection &amp; APIs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does disease normalization work?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get_disease_id() sends user input to Open Targets search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contains standardized EFO (Experimental Factor Ontology) 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picks first EFO-prefixed result; limitation: no multi-match disambiguation in current version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Q4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are targets selected and filtered?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1: Overall evidence score ≥ 0.6 (strong scientific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2: Genetic evidence ≥ 0.2 (genes affecting the protein are linked to disease)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Take top 7 by score — balanced between coverage and speed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 SCN5A (0.894), RYR2 (0.865), KCNQ1 (0.789) for heart disease.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Q6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does ChEMBL data collection work?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1: For each of 7 targets → search ChEMBL → fetch compounds with pChEMBL ≥ 6 (1 µM potency threshold)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Stage 2: Fetch molecule details (name, SMILES structure) for each compound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ThreadPoolExecutor with 7 workers for targets, 20 workers for molecule details (more items = more parallelism)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Q7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two thread pools?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Pool 1 (7 workers): Matches exactly 7 targets — no idle threads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Pool 2 (20 workers): 100+ molecule fetches need higher concurrency for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Sequential pools avoid resource contention; target phase completes before molecule phase starts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Drug-likeness &amp; Neural Network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Q9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does Lipinski Rule of Five filtering work?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MW &lt; 500 Da (molecules too large can't cross cell membranes)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LogP &lt; 5 (not too lipophilic — prevents fat accumulation)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H-bond donors &lt; 5, H-bond acceptors &lt;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check_lipinski() uses RDKit to compute all four; 0 violations = drug-like, 1+ = removed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Example: Aspirin (MW=180, LogP=1.2) → PASS. Large complex molecule (MW=600) → FAIL.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Q10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filter before neural scoring?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Speed: Lipinski is pure math (fast); neural network inference is slower — filter reduces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Clarity: Researchers can understand rule-based rejections; AI scores are less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Clean results: Only drug-viable candidates reach the ranking stage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Q11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is the model input representation?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Morgan Fingerprint: 2048-bit binary vector derived from molecular structure (SMILES → graph → circular substructure hashing)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radius=2 means patterns up to 2 bonds from each atom; fpSize=2048 for compact representation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bit: 1 = specific substructure pattern present, 0 =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 in drug discovery: similar molecules produce similar fingerprints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Q12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Describe BioactivityNet architecture.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Input → 2048 → 1024 → 512 → 256 → 1 (Sigmoid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Linear layers: learned weighted combinations (the core learning component)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BatchNorm after each layer: stabilizes training, prevents vanishing gradients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ReLU activation: introduces non-linearity (negative values →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Dropout 0.3: randomly disable 30% of neurons during training → prevents overfitting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Sigmoid output: squeezes to 0–1 probability (&gt;0.5 = predicted active)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Model Training &amp; Evaluation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Q13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is class imbalance handled?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Problem: ~95% inactive, ~5% active compounds — naive model just predicts 'inactive' always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Solution: WeightedRandomSampler gives each active compound 20× higher selection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Weight = 1 / class_count; batches become roughly 50/50 instead of 95/5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itself unchanged; only sampling distribution during training is adjusted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Q14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metrics are used and why?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Accuracy: % correct predictions — intuitive but misleading with imbalanced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ROC-AUC: P(active compound scored higher than random inactive) — class-imbalance robust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AUC = 0.5 → random; 0.7–0.8 → good; 0.9+ → excellent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Both used together: accuracy for general performance, AUC for ranking quality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Q15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BCELoss + Sigmoid?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Sigmoid forces output to [0,1] — interpretable as probability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BCELoss measures how far predicted probability is from true binary label (0 or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Natural pair for binary classification; BCEWithLogitsLoss combines both for numerical stability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Q16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are train/val/test splits done?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15% test set first (75k), then 12% of remainder as val (51k), remaining ~75% as train (374k)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stratify=y ensures same active/inactive ratio in all three splits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random_state=42 for reproducibility — same split every run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Q17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is overfitting controlled?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Dropout (0.3): random neuron disabling during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Weight Decay (1e-5): penalty for large weights → simpler, generalizable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 monitoring + checkpointing: save weights only when val performance improves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ReduceLROnPlateau scheduler: lower LR when val loss plateaus → fine-grained tuning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Typical result: ~75% test accuracy, AUC 0.82–0.85.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Inference, Deployment &amp; Reliability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Q18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does inference work at runtime?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Lazy loading: best_model.pt loaded from disk on first call, reused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SMILES → Morgan fingerprint (RDKit) → batch inference (32 at a time for speed)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Output: activity_score (0–1) + predicted_active (True if ≥ 0.5)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Results sorted by activity_score descending; ~0.5s for 30 compounds on CPU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Q22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role do LLM agents play vs deterministic code?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Deterministic: Open Targets → ChEMBL → Lipinski → Neural network (same output every 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(Gemini): Translates scores/targets into plain-English explanations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does NOT affect rankings, scores, or filtering — purely a communication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LLM is down, pipeline still works; explanations are missing but results are intact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Q24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deployment paths are supported?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Streamlit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browser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browser</w:t>
            </w:r>
          </w:p>
        </w:tc>
      </w:tr>
      <w:tr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Technical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Everyone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DevOps/Prod</w:t>
            </w:r>
          </w:p>
        </w:tc>
      </w:tr>
      <w:tr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Demos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</w:tr>
      <w:tr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Setup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 Python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 Python</w:t>
            </w:r>
          </w:p>
        </w:tc>
        <w:tc>
          <w:tcPr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Needs Docker</w:t>
            </w:r>
          </w:p>
        </w:tc>
      </w:tr>
    </w:tbl>
    <w:p>
      <w:pPr>
        <w:spacing w:after="0" w:before="80"/>
      </w:pP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Production Reliability &amp; Testing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Q8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Key API failure modes?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Timeout: 10–20s limit set, but no retry logic — single failure crashes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errors: raise_for_status() catches them, but no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Schema changes: if ChEMBL renames a field, code crashes deep in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limiting: no detection or respect for 429 responses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Missing for production: retry logic, circuit breaker, structured logging, schema validation.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Q26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What to improve first for production?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1 — Retries with backoff (tenacity library): fixes 80% of API crash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2 — Disk cache (diskcache): same disease query returns instantly, no API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3 — Structured logging (logging module): replaces print statements, persists in prod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4 — Health check endpoint: proactively detect failures before users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5 — Schema validation (jsonschema): catch API changes immediately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Q27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would you test this system?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tests: check_lipinski() with known SMILES, fingerprint generation, label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tests: full pipeline with mock API fixtures (no real HTTP calls)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ML tests: model loads, inference returns [0,1], same input → same output (determinism)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tests: 100 compounds scored in &lt; 5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Contract tests: validate Open Targets/ChEMBL response shape before processing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Q25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Biggest reproducibility risks?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drift: Open Targets/ChEMBL update constantly → same disease gives different targets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non-determinism: temperature=0.3 reduces but doesn't eliminate variation in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Library updates: PyTorch/NumPy version changes can shift numerical results slightly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dataset versioning: no record of which ChEMBL download trained the model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Fix: cache API responses, lock library versions (requirements.txt pinned), timestamp model checkpoints.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ML Engineering &amp; Data Leakage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Q28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How do you avoid data leakage?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Current: stratified random split (good) — same active/inactive ratio across all 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Risk: chemotype leakage — similar molecules in both train and test; model memorizes, not generalizes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Fix: scaffold-based splitting — group by Murcko scaffold so same core structure stays in one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Scaling/normalization must fit only on train, then transform val/test separately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Random split → ~75% accuracy. Scaffold split → ~65% but more honest generalization estimate.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Q20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is dataset generation memory-aware?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500k compounds × 2048 bits × 4 bytes (float32) = ~4 GB RAM if loaded naively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Solution: NumPy memory-mapped files (np.lib.format.open_memmap) — data stays on disk, paged in as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on machines with &lt; 4 GB RAM; only active portions are in memory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Q21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pChEMBL ≥ 6 as activity threshold?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pChEMBL = 6 → IC50 = 1 µM; industry-consensus threshold between 'active hit' and 'inactive'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Logarithmic scale: pChEMBL 7 = 10× more potent than pChEMBL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Creates ~5% active labels → class imbalance requiring WeightedRandomSampler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Q29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Why sort by AI score after Lipinski filter?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 first (fast, rule-based) → rank only the viable candidates (slow,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Saves ~10× neural network compute by eliminating ineligible compounds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Two-layer reasoning: chemistry rules (interpretable) + ML patterns (probabilistic)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Analogy: screen resumes for minimum qualifications, then interview shortlisted candidates</w:t>
      </w:r>
    </w:p>
    <w:p>
      <w:pPr>
        <w:spacing w:after="60" w:before="1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Medicinal Chemistry Limitations</w:t>
      </w:r>
    </w:p>
    <w:p>
      <w:pPr>
        <w:pBdr>
          <w:bottom w:val="single" w:color="AECDE3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Q30</w:t>
            </w:r>
          </w:p>
        </w:tc>
        <w:tc>
          <w:tcPr>
            <w:tcW w:type="dxa" w:w="8760"/>
            <w:tcBorders>
              <w:top w:val="single" w:color="AECDE3" w:sz="1"/>
              <w:left w:val="single" w:color="AECDE3" w:sz="1"/>
              <w:bottom w:val="single" w:color="AECDE3" w:sz="1"/>
              <w:right w:val="single" w:color="AECDE3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5"/>
                <w:sz w:val="22"/>
                <w:szCs w:val="22"/>
              </w:rPr>
              <w:t xml:space="preserve">Current limitations from a medicinal chemistry perspective?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Lipinski incomplete (1997): doesn't check solubility, permeability, metabolic stability, hERG toxicity, CYP interactions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selectivity modeling: compound hitting target X may also hit Y (off-target toxicity)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Assay heterogeneity: same compound measured differently across labs → noisy training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structural diversity: top candidates often share the same scaffold (similar failure modes)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synthetic accessibility: high-scoring compounds may require 20+ steps and $100k to synthesize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uncertainty quantification: model outputs 0.78 with no confidence interval or error estimate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Production roadmap: Phase 1 → ADMET prediction + hERG filter. Phase 2 → multi-objective ranking + uncertainty. Phase 3 → off-target prediction.</w:t>
      </w:r>
    </w:p>
    <w:p>
      <w:pPr>
        <w:spacing w:after="60" w:before="100"/>
      </w:pPr>
    </w:p>
    <w:p>
      <w:pPr>
        <w:pBdr>
          <w:bottom w:val="single" w:color="AECDE3" w:sz="4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All 30 Q&amp;A condensed — core logic preserved, examples trimmed for interview reference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2026-04-19T12:12:59.395Z</dcterms:created>
  <dcterms:modified xsi:type="dcterms:W3CDTF">2026-04-19T12:12:59.396Z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