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bookmarkStart w:name="md_anchor_1" w:id="1"/>
      <w:bookmarkEnd w:id="1"/>
      <w:r>
        <w:t xml:space="preserve">Comprehensive Project Report</w:t>
      </w:r>
    </w:p>
    <w:p>
      <w:pPr>
        <w:pStyle w:val="Heading1"/>
        <w:spacing w:after="200"/>
        <w:jc w:val="center"/>
      </w:pPr>
      <w:bookmarkStart w:name="md_anchor_2" w:id="2"/>
      <w:bookmarkEnd w:id="2"/>
      <w:r>
        <w:t xml:space="preserve">🚨 CyberIncident — Cyber Incident Response Assistant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3" w:id="3"/>
      <w:bookmarkEnd w:id="3"/>
      <w:r>
        <w:t xml:space="preserve">1. Executive Summary / Abstract</w:t>
      </w:r>
    </w:p>
    <w:p>
      <w:pPr>
        <w:spacing w:after="120"/>
        <w:jc w:val="left"/>
      </w:pPr>
      <w:r>
        <w:t xml:space="preserve">Cybersecurity incidents—ranging from distributed ransomware campaigns to business email compromise (BEC)—cause severe financial loss, operational downtime, and legal liability. During active crises, Security Operations Center (SOC) teams frequently experience cognitive overload, fragmented communication, and delayed containment due to inconsistent procedures. The National Institute of Standards and Technology (NIST) Special Publication 800-61 ("Computer Security Incident Handling Guide") outlines standard procedural phases; however, small-to-medium teams lack dedicated automation to operationalize these standards.</w:t>
      </w:r>
    </w:p>
    <w:p>
      <w:pPr>
        <w:spacing w:after="200"/>
      </w:pPr>
      <w:r>
        <w:t xml:space="preserve"> </w:t>
      </w:r>
    </w:p>
    <w:p>
      <w:pPr>
        <w:spacing w:after="120"/>
        <w:jc w:val="left"/>
      </w:pPr>
      <w:r>
        <w:rPr>
          <w:b/>
          <w:bCs/>
        </w:rPr>
        <w:t xml:space="preserve">CyberIncident</w:t>
      </w:r>
      <w:r>
        <w:t xml:space="preserve"> is an interactive Incident Response (IR) management and triage assistant engineered in Python using Streamlit. It codifies the NIST SP 800-61 lifecycle into actionable workflows. It calculates incident severity (P1 Critical through P4 Low) based on multi-factor impact scoring, guides responders through structured checklists, aggregates Indicators of Compromise (IOCs), records time-stamped defensive actions, and automatically compiles executive Post-Incident Reports (PIR).</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4" w:id="4"/>
      <w:bookmarkEnd w:id="4"/>
      <w:r>
        <w:t xml:space="preserve">2. Problem Statement</w:t>
      </w:r>
    </w:p>
    <w:p>
      <w:pPr>
        <w:spacing w:after="100"/>
        <w:ind w:start="20"/>
        <w:jc w:val="left"/>
      </w:pPr>
      <w:r>
        <w:t xml:space="preserve">1. </w:t>
      </w:r>
      <w:r>
        <w:rPr>
          <w:b/>
          <w:bCs/>
        </w:rPr>
        <w:t xml:space="preserve">Disorganized Incident Triage</w:t>
      </w:r>
      <w:r>
        <w:t xml:space="preserve">: Responders often struggle to rapidly gauge whether an alert warrants an all-hands executive escalation (P1) or localized remediation (P3/P4).</w:t>
      </w:r>
    </w:p>
    <w:p>
      <w:pPr>
        <w:spacing w:after="100"/>
        <w:ind w:start="20"/>
        <w:jc w:val="left"/>
      </w:pPr>
      <w:r>
        <w:t xml:space="preserve">2. </w:t>
      </w:r>
      <w:r>
        <w:rPr>
          <w:b/>
          <w:bCs/>
        </w:rPr>
        <w:t xml:space="preserve">Procedure Drift Under Pressure</w:t>
      </w:r>
      <w:r>
        <w:t xml:space="preserve">: Under high stress, critical containment actions (such as revoking persistence tokens or verifying immutable backup integrity) are frequently missed.</w:t>
      </w:r>
    </w:p>
    <w:p>
      <w:pPr>
        <w:spacing w:after="100"/>
        <w:ind w:start="20"/>
        <w:jc w:val="left"/>
      </w:pPr>
      <w:r>
        <w:t xml:space="preserve">3. </w:t>
      </w:r>
      <w:r>
        <w:rPr>
          <w:b/>
          <w:bCs/>
        </w:rPr>
        <w:t xml:space="preserve">Evidence Fragmentation</w:t>
      </w:r>
      <w:r>
        <w:t xml:space="preserve">: Threat indicators (malicious IPs, file hashes) are often scattered across chat channels and sticky notes, delaying enterprise-wide blocking.</w:t>
      </w:r>
    </w:p>
    <w:p>
      <w:pPr>
        <w:spacing w:after="100"/>
        <w:ind w:start="20"/>
        <w:jc w:val="left"/>
      </w:pPr>
      <w:r>
        <w:t xml:space="preserve">4. </w:t>
      </w:r>
      <w:r>
        <w:rPr>
          <w:b/>
          <w:bCs/>
        </w:rPr>
        <w:t xml:space="preserve">Labor-Intensive Reporting</w:t>
      </w:r>
      <w:r>
        <w:t xml:space="preserve">: Authoring post-incident post-mortems for executive and regulatory stakeholders consumes days of manual effort after the containment phase concludes.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5" w:id="5"/>
      <w:bookmarkEnd w:id="5"/>
      <w:r>
        <w:t xml:space="preserve">3. Objectives</w:t>
      </w:r>
    </w:p>
    <w:p>
      <w:pPr>
        <w:pStyle w:val="ListParagraph"/>
        <w:numPr>
          <w:ilvl w:val="0"/>
          <w:numId w:val="2"/>
        </w:numPr>
        <w:tabs>
          <w:tab w:val="num" w:pos="360"/>
        </w:tabs>
        <w:spacing w:after="100"/>
        <w:ind w:start="360" w:hanging="360"/>
        <w:jc w:val="left"/>
      </w:pPr>
      <w:r>
        <w:rPr>
          <w:b/>
          <w:bCs/>
        </w:rPr>
        <w:t xml:space="preserve">Standardize Severity Classification</w:t>
      </w:r>
      <w:r>
        <w:t xml:space="preserve">: Implement an algorithmic severity matrix evaluating affected endpoint volume, data confidentiality impact, and operational disruption.</w:t>
      </w:r>
    </w:p>
    <w:p>
      <w:pPr>
        <w:pStyle w:val="ListParagraph"/>
        <w:numPr>
          <w:ilvl w:val="0"/>
          <w:numId w:val="2"/>
        </w:numPr>
        <w:tabs>
          <w:tab w:val="num" w:pos="360"/>
        </w:tabs>
        <w:spacing w:after="100"/>
        <w:ind w:start="360" w:hanging="360"/>
        <w:jc w:val="left"/>
      </w:pPr>
      <w:r>
        <w:rPr>
          <w:b/>
          <w:bCs/>
        </w:rPr>
        <w:t xml:space="preserve">Implement Vector-Specific Playbooks</w:t>
      </w:r>
      <w:r>
        <w:t xml:space="preserve">: Embed step-by-step guidance for Ransomware, BEC/Phishing, and Denial-of-Service attacks aligned with NIST SP 800-61.</w:t>
      </w:r>
    </w:p>
    <w:p>
      <w:pPr>
        <w:pStyle w:val="ListParagraph"/>
        <w:numPr>
          <w:ilvl w:val="0"/>
          <w:numId w:val="2"/>
        </w:numPr>
        <w:tabs>
          <w:tab w:val="num" w:pos="360"/>
        </w:tabs>
        <w:spacing w:after="100"/>
        <w:ind w:start="360" w:hanging="360"/>
        <w:jc w:val="left"/>
      </w:pPr>
      <w:r>
        <w:rPr>
          <w:b/>
          <w:bCs/>
        </w:rPr>
        <w:t xml:space="preserve">Centralize IOC Vault</w:t>
      </w:r>
      <w:r>
        <w:t xml:space="preserve">: Enable seamless tracking of IPs, domain names, hashes, and compromised credentials with instant table views.</w:t>
      </w:r>
    </w:p>
    <w:p>
      <w:pPr>
        <w:pStyle w:val="ListParagraph"/>
        <w:numPr>
          <w:ilvl w:val="0"/>
          <w:numId w:val="2"/>
        </w:numPr>
        <w:tabs>
          <w:tab w:val="num" w:pos="360"/>
        </w:tabs>
        <w:spacing w:after="100"/>
        <w:ind w:start="360" w:hanging="360"/>
        <w:jc w:val="left"/>
      </w:pPr>
      <w:r>
        <w:rPr>
          <w:b/>
          <w:bCs/>
        </w:rPr>
        <w:t xml:space="preserve">Real-Time Forensic Timeline</w:t>
      </w:r>
      <w:r>
        <w:t xml:space="preserve">: Capture time-stamped actions taken by analysts to preserve a defensible chain of custody.</w:t>
      </w:r>
    </w:p>
    <w:p>
      <w:pPr>
        <w:pStyle w:val="ListParagraph"/>
        <w:numPr>
          <w:ilvl w:val="0"/>
          <w:numId w:val="2"/>
        </w:numPr>
        <w:tabs>
          <w:tab w:val="num" w:pos="360"/>
        </w:tabs>
        <w:spacing w:after="100"/>
        <w:ind w:start="360" w:hanging="360"/>
        <w:jc w:val="left"/>
      </w:pPr>
      <w:r>
        <w:rPr>
          <w:b/>
          <w:bCs/>
        </w:rPr>
        <w:t xml:space="preserve">Automate Post-Incident Reporting (PIR)</w:t>
      </w:r>
      <w:r>
        <w:t xml:space="preserve">: Produce structured executive summaries in both JSON and Markdown formats for post-mortem compliance.</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6" w:id="6"/>
      <w:bookmarkEnd w:id="6"/>
      <w:r>
        <w:t xml:space="preserve">4. System Architecture &amp; Methodology</w:t>
      </w:r>
    </w:p>
    <w:p>
      <w:pPr>
        <w:spacing w:after="200"/>
      </w:pPr>
      <w:r>
        <w:t xml:space="preserve"> </w:t>
      </w:r>
    </w:p>
    <w:p>
      <w:pPr>
        <w:pStyle w:val="Heading3"/>
        <w:spacing w:after="200"/>
        <w:jc w:val="left"/>
      </w:pPr>
      <w:bookmarkStart w:name="md_anchor_7" w:id="7"/>
      <w:bookmarkEnd w:id="7"/>
      <w:r>
        <w:t xml:space="preserve">4.1 Architecture Diagram</w:t>
      </w:r>
    </w:p>
    <w:p>
      <w:pPr>
        <w:shd w:fill="000000" w:color="auto" w:val="clear"/>
        <w:spacing w:before="160" w:after="200"/>
        <w:ind w:left="240" w:right="240"/>
        <w:jc w:val="left"/>
      </w:pPr>
      <w:r>
        <w:rPr>
          <w:rFonts w:ascii="Courier New" w:cs="Courier New" w:eastAsia="Courier New" w:hAnsi="Courier New"/>
          <w:color w:val="FFFFFF"/>
          <w:sz w:val="20"/>
          <w:szCs w:val="20"/>
        </w:rPr>
        <w:t xml:space="preserve">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User Ingestion Layer                   |    </w:t>
      </w:r>
      <w:r>
        <w:br/>
      </w:r>
      <w:r>
        <w:rPr>
          <w:rFonts w:ascii="Courier New" w:cs="Courier New" w:eastAsia="Courier New" w:hAnsi="Courier New"/>
          <w:color w:val="FFFFFF"/>
          <w:sz w:val="20"/>
          <w:szCs w:val="20"/>
        </w:rPr>
        <w:t xml:space="preserve">    |          (Incident Parameters, Affected Hosts, Vector)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Algorithmic Severity Evaluator                |    </w:t>
      </w:r>
      <w:r>
        <w:br/>
      </w:r>
      <w:r>
        <w:rPr>
          <w:rFonts w:ascii="Courier New" w:cs="Courier New" w:eastAsia="Courier New" w:hAnsi="Courier New"/>
          <w:color w:val="FFFFFF"/>
          <w:sz w:val="20"/>
          <w:szCs w:val="20"/>
        </w:rPr>
        <w:t xml:space="preserve">    |      (Score Matrix -&gt; Tier Mapping: P1, P2, P3, P4)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v                       v                       v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NIST SP 800-61|     |  IOC Evidence |     | Chronological |    </w:t>
      </w:r>
      <w:r>
        <w:br/>
      </w:r>
      <w:r>
        <w:rPr>
          <w:rFonts w:ascii="Courier New" w:cs="Courier New" w:eastAsia="Courier New" w:hAnsi="Courier New"/>
          <w:color w:val="FFFFFF"/>
          <w:sz w:val="20"/>
          <w:szCs w:val="20"/>
        </w:rPr>
        <w:t xml:space="preserve">    | Playbook      |     |  Vault        |     | Audit Timeline|    </w:t>
      </w:r>
      <w:r>
        <w:br/>
      </w:r>
      <w:r>
        <w:rPr>
          <w:rFonts w:ascii="Courier New" w:cs="Courier New" w:eastAsia="Courier New" w:hAnsi="Courier New"/>
          <w:color w:val="FFFFFF"/>
          <w:sz w:val="20"/>
          <w:szCs w:val="20"/>
        </w:rPr>
        <w:t xml:space="preserve">    | Checklists    |     | (State Memory)|     | Logger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v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               Executive Report Synthesis Engine             |    </w:t>
      </w:r>
      <w:r>
        <w:br/>
      </w:r>
      <w:r>
        <w:rPr>
          <w:rFonts w:ascii="Courier New" w:cs="Courier New" w:eastAsia="Courier New" w:hAnsi="Courier New"/>
          <w:color w:val="FFFFFF"/>
          <w:sz w:val="20"/>
          <w:szCs w:val="20"/>
        </w:rPr>
        <w:t xml:space="preserve">    |   - Post-Incident Report (PIR) Builder                      |    </w:t>
      </w:r>
      <w:r>
        <w:br/>
      </w:r>
      <w:r>
        <w:rPr>
          <w:rFonts w:ascii="Courier New" w:cs="Courier New" w:eastAsia="Courier New" w:hAnsi="Courier New"/>
          <w:color w:val="FFFFFF"/>
          <w:sz w:val="20"/>
          <w:szCs w:val="20"/>
        </w:rPr>
        <w:t xml:space="preserve">    |   - Remediation Recommendations Generator                   |    </w:t>
      </w:r>
      <w:r>
        <w:br/>
      </w:r>
      <w:r>
        <w:rPr>
          <w:rFonts w:ascii="Courier New" w:cs="Courier New" w:eastAsia="Courier New" w:hAnsi="Courier New"/>
          <w:color w:val="FFFFFF"/>
          <w:sz w:val="20"/>
          <w:szCs w:val="20"/>
        </w:rPr>
        <w:t xml:space="preserve">    |   - Dual Format Exporter (JSON &amp; Markdown)                  |    </w:t>
      </w:r>
      <w:r>
        <w:br/>
      </w:r>
      <w:r>
        <w:rPr>
          <w:rFonts w:ascii="Courier New" w:cs="Courier New" w:eastAsia="Courier New" w:hAnsi="Courier New"/>
          <w:color w:val="FFFFFF"/>
          <w:sz w:val="20"/>
          <w:szCs w:val="20"/>
        </w:rPr>
        <w:t xml:space="preserve">    +-------------------------------------------------------------+    </w:t>
      </w:r>
      <w:r>
        <w:br/>
      </w:r>
      <w:r>
        <w:rPr>
          <w:rFonts w:ascii="Courier New" w:cs="Courier New" w:eastAsia="Courier New" w:hAnsi="Courier New"/>
          <w:color w:val="FFFFFF"/>
          <w:sz w:val="20"/>
          <w:szCs w:val="20"/>
        </w:rPr>
        <w:t xml:space="preserve">         </w:t>
      </w:r>
    </w:p>
    <w:p>
      <w:pPr>
        <w:spacing w:after="200"/>
      </w:pPr>
      <w:r>
        <w:t xml:space="preserve"> </w:t>
      </w:r>
    </w:p>
    <w:p>
      <w:pPr>
        <w:pStyle w:val="Heading3"/>
        <w:spacing w:after="200"/>
        <w:jc w:val="left"/>
      </w:pPr>
      <w:bookmarkStart w:name="md_anchor_8" w:id="8"/>
      <w:bookmarkEnd w:id="8"/>
      <w:r>
        <w:t xml:space="preserve">4.2 Severity Calculation Matrix</w:t>
      </w:r>
    </w:p>
    <w:p>
      <w:pPr>
        <w:spacing w:after="120"/>
        <w:jc w:val="left"/>
      </w:pPr>
      <w:r>
        <w:t xml:space="preserve">The severity score </w:t>
      </w:r>
      <m:oMath>
        <m:sSub>
          <m:sSubPr>
            <m:ctrlPr/>
          </m:sSubPr>
          <m:e>
            <m:r>
              <m:t xml:space="preserve">S</m:t>
            </m:r>
          </m:e>
          <m:sub>
            <m:r>
              <m:rPr>
                <m:nor/>
              </m:rPr>
              <m:t xml:space="preserve">ir</m:t>
            </m:r>
          </m:sub>
        </m:sSub>
      </m:oMath>
      <w:r>
        <w:t xml:space="preserve"> is formulated as:</w:t>
      </w:r>
    </w:p>
    <w:p>
      <w:pPr>
        <w:spacing w:before="240" w:after="160"/>
        <w:jc w:val="center"/>
      </w:pPr>
      <m:oMath>
        <m:sSub>
          <m:sSubPr>
            <m:ctrlPr/>
          </m:sSubPr>
          <m:e>
            <m:r>
              <m:t xml:space="preserve">S</m:t>
            </m:r>
          </m:e>
          <m:sub>
            <m:r>
              <m:rPr>
                <m:nor/>
              </m:rPr>
              <m:t xml:space="preserve">ir</m:t>
            </m:r>
          </m:sub>
        </m:sSub>
        <m:r>
          <m:t xml:space="preserve">=</m:t>
        </m:r>
        <m:sSub>
          <m:sSubPr>
            <m:ctrlPr/>
          </m:sSubPr>
          <m:e>
            <m:r>
              <m:t xml:space="preserve">W</m:t>
            </m:r>
          </m:e>
          <m:sub>
            <m:r>
              <m:rPr>
                <m:nor/>
              </m:rPr>
              <m:t xml:space="preserve">scope</m:t>
            </m:r>
          </m:sub>
        </m:sSub>
        <m:r>
          <m:t xml:space="preserve">+</m:t>
        </m:r>
        <m:sSub>
          <m:sSubPr>
            <m:ctrlPr/>
          </m:sSubPr>
          <m:e>
            <m:r>
              <m:t xml:space="preserve">W</m:t>
            </m:r>
          </m:e>
          <m:sub>
            <m:r>
              <m:rPr>
                <m:nor/>
              </m:rPr>
              <m:t xml:space="preserve">data</m:t>
            </m:r>
          </m:sub>
        </m:sSub>
        <m:r>
          <m:t xml:space="preserve">+</m:t>
        </m:r>
        <m:sSub>
          <m:sSubPr>
            <m:ctrlPr/>
          </m:sSubPr>
          <m:e>
            <m:r>
              <m:t xml:space="preserve">W</m:t>
            </m:r>
          </m:e>
          <m:sub>
            <m:r>
              <m:rPr>
                <m:nor/>
              </m:rPr>
              <m:t xml:space="preserve">business</m:t>
            </m:r>
          </m:sub>
        </m:sSub>
      </m:oMath>
    </w:p>
    <w:p>
      <w:pPr>
        <w:spacing w:after="120"/>
        <w:jc w:val="left"/>
      </w:pPr>
      <w:r>
        <w:t xml:space="preserve">Where:</w:t>
      </w:r>
    </w:p>
    <w:p>
      <w:pPr>
        <w:pStyle w:val="ListParagraph"/>
        <w:numPr>
          <w:ilvl w:val="0"/>
          <w:numId w:val="2"/>
        </w:numPr>
        <w:tabs>
          <w:tab w:val="num" w:pos="360"/>
        </w:tabs>
        <w:spacing w:before="240" w:after="100"/>
        <w:ind w:start="360" w:hanging="360"/>
        <w:jc w:val="left"/>
      </w:pPr>
      <m:oMath>
        <m:sSub>
          <m:sSubPr>
            <m:ctrlPr/>
          </m:sSubPr>
          <m:e>
            <m:r>
              <m:t xml:space="preserve">W</m:t>
            </m:r>
          </m:e>
          <m:sub>
            <m:r>
              <m:rPr>
                <m:nor/>
              </m:rPr>
              <m:t xml:space="preserve">scope</m:t>
            </m:r>
          </m:sub>
        </m:sSub>
      </m:oMath>
      <w:r>
        <w:t xml:space="preserve">: </w:t>
      </w:r>
      <m:oMath>
        <m:r>
          <m:t xml:space="preserve">1</m:t>
        </m:r>
      </m:oMath>
      <w:r>
        <w:t xml:space="preserve"> (</w:t>
      </w:r>
      <w:r>
        <w:drawing>
          <wp:inline distT="0" distB="0" distL="0" distR="0">
            <wp:extent cx="295275" cy="133350"/>
            <wp:effectExtent t="0" r="0" b="0" l="0"/>
            <wp:docPr id="1" name="formu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95275" cy="133350"/>
                    </a:xfrm>
                    <a:prstGeom prst="rect">
                      <a:avLst/>
                    </a:prstGeom>
                  </pic:spPr>
                </pic:pic>
              </a:graphicData>
            </a:graphic>
          </wp:inline>
        </w:drawing>
      </w:r>
      <w:r>
        <w:t xml:space="preserve"> hosts), </w:t>
      </w:r>
      <m:oMath>
        <m:r>
          <m:t xml:space="preserve">2</m:t>
        </m:r>
      </m:oMath>
      <w:r>
        <w:t xml:space="preserve"> (</w:t>
      </w:r>
      <m:oMath>
        <m:r>
          <m:t xml:space="preserve">2−9</m:t>
        </m:r>
      </m:oMath>
      <w:r>
        <w:t xml:space="preserve"> hosts), </w:t>
      </w:r>
      <m:oMath>
        <m:r>
          <m:t xml:space="preserve">3</m:t>
        </m:r>
      </m:oMath>
      <w:r>
        <w:t xml:space="preserve"> (</w:t>
      </w:r>
      <m:oMath>
        <m:r>
          <m:t xml:space="preserve">10−49</m:t>
        </m:r>
      </m:oMath>
      <w:r>
        <w:t xml:space="preserve"> hosts), </w:t>
      </w:r>
      <m:oMath>
        <m:r>
          <m:t xml:space="preserve">4</m:t>
        </m:r>
      </m:oMath>
      <w:r>
        <w:t xml:space="preserve"> (</w:t>
      </w:r>
      <m:oMath>
        <m:r>
          <m:t xml:space="preserve">≥50</m:t>
        </m:r>
      </m:oMath>
      <w:r>
        <w:t xml:space="preserve"> hosts).</w:t>
      </w:r>
    </w:p>
    <w:p>
      <w:pPr>
        <w:pStyle w:val="ListParagraph"/>
        <w:numPr>
          <w:ilvl w:val="0"/>
          <w:numId w:val="2"/>
        </w:numPr>
        <w:tabs>
          <w:tab w:val="num" w:pos="360"/>
        </w:tabs>
        <w:spacing w:after="100"/>
        <w:ind w:start="360" w:hanging="360"/>
        <w:jc w:val="left"/>
      </w:pPr>
      <m:oMath>
        <m:sSub>
          <m:sSubPr>
            <m:ctrlPr/>
          </m:sSubPr>
          <m:e>
            <m:r>
              <m:t xml:space="preserve">W</m:t>
            </m:r>
          </m:e>
          <m:sub>
            <m:r>
              <m:rPr>
                <m:nor/>
              </m:rPr>
              <m:t xml:space="preserve">data</m:t>
            </m:r>
          </m:sub>
        </m:sSub>
      </m:oMath>
      <w:r>
        <w:t xml:space="preserve">: </w:t>
      </w:r>
      <m:oMath>
        <m:r>
          <m:t xml:space="preserve">1</m:t>
        </m:r>
      </m:oMath>
      <w:r>
        <w:t xml:space="preserve"> (Internal telemetry only), </w:t>
      </w:r>
      <m:oMath>
        <m:r>
          <m:t xml:space="preserve">3</m:t>
        </m:r>
      </m:oMath>
      <w:r>
        <w:t xml:space="preserve"> (Data encrypted/damaged), </w:t>
      </w:r>
      <m:oMath>
        <m:r>
          <m:t xml:space="preserve">4</m:t>
        </m:r>
      </m:oMath>
      <w:r>
        <w:t xml:space="preserve"> (Confidential data exfiltrated).</w:t>
      </w:r>
    </w:p>
    <w:p>
      <w:pPr>
        <w:pStyle w:val="ListParagraph"/>
        <w:numPr>
          <w:ilvl w:val="0"/>
          <w:numId w:val="2"/>
        </w:numPr>
        <w:tabs>
          <w:tab w:val="num" w:pos="360"/>
        </w:tabs>
        <w:spacing w:after="100"/>
        <w:ind w:start="360" w:hanging="360"/>
        <w:jc w:val="left"/>
      </w:pPr>
      <m:oMath>
        <m:sSub>
          <m:sSubPr>
            <m:ctrlPr/>
          </m:sSubPr>
          <m:e>
            <m:r>
              <m:t xml:space="preserve">W</m:t>
            </m:r>
          </m:e>
          <m:sub>
            <m:r>
              <m:rPr>
                <m:nor/>
              </m:rPr>
              <m:t xml:space="preserve">business</m:t>
            </m:r>
          </m:sub>
        </m:sSub>
      </m:oMath>
      <w:r>
        <w:t xml:space="preserve">: </w:t>
      </w:r>
      <m:oMath>
        <m:r>
          <m:t xml:space="preserve">1</m:t>
        </m:r>
      </m:oMath>
      <w:r>
        <w:t xml:space="preserve"> (Minor disruption), </w:t>
      </w:r>
      <m:oMath>
        <m:r>
          <m:t xml:space="preserve">3</m:t>
        </m:r>
      </m:oMath>
      <w:r>
        <w:t xml:space="preserve"> (Significant operational disruption), </w:t>
      </w:r>
      <m:oMath>
        <m:r>
          <m:t xml:space="preserve">4</m:t>
        </m:r>
      </m:oMath>
      <w:r>
        <w:t xml:space="preserve"> (Complete business outage).</w:t>
      </w:r>
    </w:p>
    <w:p>
      <w:pPr>
        <w:spacing w:after="200"/>
      </w:pPr>
      <w:r>
        <w:t xml:space="preserve"> </w:t>
      </w:r>
    </w:p>
    <w:p>
      <w:pPr>
        <w:spacing w:after="120"/>
        <w:jc w:val="left"/>
      </w:pPr>
      <w:r>
        <w:t xml:space="preserve">Tier Assignment:</w:t>
      </w:r>
    </w:p>
    <w:p>
      <w:pPr>
        <w:pStyle w:val="ListParagraph"/>
        <w:numPr>
          <w:ilvl w:val="0"/>
          <w:numId w:val="2"/>
        </w:numPr>
        <w:tabs>
          <w:tab w:val="num" w:pos="360"/>
        </w:tabs>
        <w:spacing w:after="100"/>
        <w:ind w:start="360" w:hanging="360"/>
        <w:jc w:val="left"/>
      </w:pPr>
      <w:r>
        <w:t xml:space="preserve">If </w:t>
      </w:r>
      <m:oMath>
        <m:sSub>
          <m:sSubPr>
            <m:ctrlPr/>
          </m:sSubPr>
          <m:e>
            <m:r>
              <m:t xml:space="preserve">S</m:t>
            </m:r>
          </m:e>
          <m:sub>
            <m:r>
              <m:rPr>
                <m:nor/>
              </m:rPr>
              <m:t xml:space="preserve">ir</m:t>
            </m:r>
          </m:sub>
        </m:sSub>
        <m:r>
          <m:t xml:space="preserve">≥10</m:t>
        </m:r>
      </m:oMath>
      <w:r>
        <w:t xml:space="preserve"> or </w:t>
      </w:r>
      <m:oMath>
        <m:r>
          <m:rPr>
            <m:nor/>
          </m:rPr>
          <m:t xml:space="preserve">Vector</m:t>
        </m:r>
        <m:r>
          <m:t xml:space="preserve">==</m:t>
        </m:r>
        <m:r>
          <m:rPr>
            <m:nor/>
          </m:rPr>
          <m:t xml:space="preserve">Ransomware</m:t>
        </m:r>
      </m:oMath>
      <w:r>
        <w:t xml:space="preserve">: </w:t>
      </w:r>
      <w:r>
        <w:rPr>
          <w:b/>
          <w:bCs/>
        </w:rPr>
        <w:t xml:space="preserve">P1 - CRITICAL</w:t>
      </w:r>
    </w:p>
    <w:p>
      <w:pPr>
        <w:pStyle w:val="ListParagraph"/>
        <w:numPr>
          <w:ilvl w:val="0"/>
          <w:numId w:val="2"/>
        </w:numPr>
        <w:tabs>
          <w:tab w:val="num" w:pos="360"/>
        </w:tabs>
        <w:spacing w:after="100"/>
        <w:ind w:start="360" w:hanging="360"/>
        <w:jc w:val="left"/>
      </w:pPr>
      <w:r>
        <w:t xml:space="preserve">If </w:t>
      </w:r>
      <m:oMath>
        <m:sSub>
          <m:sSubPr>
            <m:ctrlPr/>
          </m:sSubPr>
          <m:e>
            <m:r>
              <m:t xml:space="preserve">S</m:t>
            </m:r>
          </m:e>
          <m:sub>
            <m:r>
              <m:rPr>
                <m:nor/>
              </m:rPr>
              <m:t xml:space="preserve">ir</m:t>
            </m:r>
          </m:sub>
        </m:sSub>
        <m:r>
          <m:t xml:space="preserve">≥7</m:t>
        </m:r>
      </m:oMath>
      <w:r>
        <w:t xml:space="preserve">: </w:t>
      </w:r>
      <w:r>
        <w:rPr>
          <w:b/>
          <w:bCs/>
        </w:rPr>
        <w:t xml:space="preserve">P2 - HIGH</w:t>
      </w:r>
    </w:p>
    <w:p>
      <w:pPr>
        <w:pStyle w:val="ListParagraph"/>
        <w:numPr>
          <w:ilvl w:val="0"/>
          <w:numId w:val="2"/>
        </w:numPr>
        <w:tabs>
          <w:tab w:val="num" w:pos="360"/>
        </w:tabs>
        <w:spacing w:after="100"/>
        <w:ind w:start="360" w:hanging="360"/>
        <w:jc w:val="left"/>
      </w:pPr>
      <w:r>
        <w:t xml:space="preserve">If </w:t>
      </w:r>
      <m:oMath>
        <m:sSub>
          <m:sSubPr>
            <m:ctrlPr/>
          </m:sSubPr>
          <m:e>
            <m:r>
              <m:t xml:space="preserve">S</m:t>
            </m:r>
          </m:e>
          <m:sub>
            <m:r>
              <m:rPr>
                <m:nor/>
              </m:rPr>
              <m:t xml:space="preserve">ir</m:t>
            </m:r>
          </m:sub>
        </m:sSub>
        <m:r>
          <m:t xml:space="preserve">≥5</m:t>
        </m:r>
      </m:oMath>
      <w:r>
        <w:t xml:space="preserve">: </w:t>
      </w:r>
      <w:r>
        <w:rPr>
          <w:b/>
          <w:bCs/>
        </w:rPr>
        <w:t xml:space="preserve">P3 - MEDIUM</w:t>
      </w:r>
    </w:p>
    <w:p>
      <w:pPr>
        <w:pStyle w:val="ListParagraph"/>
        <w:numPr>
          <w:ilvl w:val="0"/>
          <w:numId w:val="2"/>
        </w:numPr>
        <w:tabs>
          <w:tab w:val="num" w:pos="360"/>
        </w:tabs>
        <w:spacing w:after="100"/>
        <w:ind w:start="360" w:hanging="360"/>
        <w:jc w:val="left"/>
      </w:pPr>
      <w:r>
        <w:t xml:space="preserve">Otherwise: </w:t>
      </w:r>
      <w:r>
        <w:rPr>
          <w:b/>
          <w:bCs/>
        </w:rPr>
        <w:t xml:space="preserve">P4 - LOW</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9" w:id="9"/>
      <w:bookmarkEnd w:id="9"/>
      <w:r>
        <w:t xml:space="preserve">5. Technology Stack</w:t>
      </w:r>
    </w:p>
    <w:p>
      <w:pPr>
        <w:pStyle w:val="ListParagraph"/>
        <w:numPr>
          <w:ilvl w:val="0"/>
          <w:numId w:val="2"/>
        </w:numPr>
        <w:tabs>
          <w:tab w:val="num" w:pos="360"/>
        </w:tabs>
        <w:spacing w:after="100"/>
        <w:ind w:start="360" w:hanging="360"/>
        <w:jc w:val="left"/>
      </w:pPr>
      <w:r>
        <w:rPr>
          <w:b/>
          <w:bCs/>
        </w:rPr>
        <w:t xml:space="preserve">Language</w:t>
      </w:r>
      <w:r>
        <w:t xml:space="preserve">: Python 3.9+</w:t>
      </w:r>
    </w:p>
    <w:p>
      <w:pPr>
        <w:pStyle w:val="ListParagraph"/>
        <w:numPr>
          <w:ilvl w:val="0"/>
          <w:numId w:val="2"/>
        </w:numPr>
        <w:tabs>
          <w:tab w:val="num" w:pos="360"/>
        </w:tabs>
        <w:spacing w:after="100"/>
        <w:ind w:start="360" w:hanging="360"/>
        <w:jc w:val="left"/>
      </w:pPr>
      <w:r>
        <w:rPr>
          <w:b/>
          <w:bCs/>
        </w:rPr>
        <w:t xml:space="preserve">Interactive Framework</w:t>
      </w:r>
      <w:r>
        <w:t xml:space="preserve">: Streamlit</w:t>
      </w:r>
    </w:p>
    <w:p>
      <w:pPr>
        <w:pStyle w:val="ListParagraph"/>
        <w:numPr>
          <w:ilvl w:val="0"/>
          <w:numId w:val="2"/>
        </w:numPr>
        <w:tabs>
          <w:tab w:val="num" w:pos="360"/>
        </w:tabs>
        <w:spacing w:after="100"/>
        <w:ind w:start="360" w:hanging="360"/>
        <w:jc w:val="left"/>
      </w:pPr>
      <w:r>
        <w:rPr>
          <w:b/>
          <w:bCs/>
        </w:rPr>
        <w:t xml:space="preserve">State Management</w:t>
      </w:r>
      <w:r>
        <w:t xml:space="preserve">: Streamlit Session State (</w:t>
      </w:r>
      <w:r>
        <w:rPr>
          <w:rFonts w:ascii="Courier New" w:cs="Courier New" w:eastAsia="Courier New" w:hAnsi="Courier New"/>
          <w:shd w:fill="F1F5F9" w:color="auto" w:val="clear"/>
        </w:rPr>
        <w:t xml:space="preserve">st.session_state</w:t>
      </w:r>
      <w:r>
        <w:t xml:space="preserve">)</w:t>
      </w:r>
    </w:p>
    <w:p>
      <w:pPr>
        <w:pStyle w:val="ListParagraph"/>
        <w:numPr>
          <w:ilvl w:val="0"/>
          <w:numId w:val="2"/>
        </w:numPr>
        <w:tabs>
          <w:tab w:val="num" w:pos="360"/>
        </w:tabs>
        <w:spacing w:after="100"/>
        <w:ind w:start="360" w:hanging="360"/>
        <w:jc w:val="left"/>
      </w:pPr>
      <w:r>
        <w:rPr>
          <w:b/>
          <w:bCs/>
        </w:rPr>
        <w:t xml:space="preserve">Data Modeling</w:t>
      </w:r>
      <w:r>
        <w:t xml:space="preserve">: Pandas</w:t>
      </w:r>
    </w:p>
    <w:p>
      <w:pPr>
        <w:pStyle w:val="ListParagraph"/>
        <w:numPr>
          <w:ilvl w:val="0"/>
          <w:numId w:val="2"/>
        </w:numPr>
        <w:tabs>
          <w:tab w:val="num" w:pos="360"/>
        </w:tabs>
        <w:spacing w:after="100"/>
        <w:ind w:start="360" w:hanging="360"/>
        <w:jc w:val="left"/>
      </w:pPr>
      <w:r>
        <w:rPr>
          <w:b/>
          <w:bCs/>
        </w:rPr>
        <w:t xml:space="preserve">Standardized Formats</w:t>
      </w:r>
      <w:r>
        <w:t xml:space="preserve">: JSON, Markdown</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0" w:id="10"/>
      <w:bookmarkEnd w:id="10"/>
      <w:r>
        <w:t xml:space="preserve">6. Functional Modules</w:t>
      </w:r>
    </w:p>
    <w:p>
      <w:pPr>
        <w:spacing w:after="100"/>
        <w:ind w:start="20"/>
        <w:jc w:val="left"/>
      </w:pPr>
      <w:r>
        <w:t xml:space="preserve">1. </w:t>
      </w:r>
      <w:r>
        <w:rPr>
          <w:b/>
          <w:bCs/>
        </w:rPr>
        <w:t xml:space="preserve">Triage &amp; Classification Module</w:t>
      </w:r>
      <w:r>
        <w:t xml:space="preserve">: Records incident metadata, ticket IDs, and commander identities while evaluating severity tiers.</w:t>
      </w:r>
    </w:p>
    <w:p>
      <w:pPr>
        <w:spacing w:after="100"/>
        <w:ind w:start="20"/>
        <w:jc w:val="left"/>
      </w:pPr>
      <w:r>
        <w:t xml:space="preserve">2. </w:t>
      </w:r>
      <w:r>
        <w:rPr>
          <w:b/>
          <w:bCs/>
        </w:rPr>
        <w:t xml:space="preserve">Playbook Execution Engine</w:t>
      </w:r>
      <w:r>
        <w:t xml:space="preserve">: Dynamically displays containment, eradication, and recovery checklists customized to the selected attack vector.</w:t>
      </w:r>
    </w:p>
    <w:p>
      <w:pPr>
        <w:spacing w:after="100"/>
        <w:ind w:start="20"/>
        <w:jc w:val="left"/>
      </w:pPr>
      <w:r>
        <w:t xml:space="preserve">3. </w:t>
      </w:r>
      <w:r>
        <w:rPr>
          <w:b/>
          <w:bCs/>
        </w:rPr>
        <w:t xml:space="preserve">IOC Vault</w:t>
      </w:r>
      <w:r>
        <w:t xml:space="preserve">: Maintains an in-memory repository of identified attack indicators for rapid export.</w:t>
      </w:r>
    </w:p>
    <w:p>
      <w:pPr>
        <w:spacing w:after="100"/>
        <w:ind w:start="20"/>
        <w:jc w:val="left"/>
      </w:pPr>
      <w:r>
        <w:t xml:space="preserve">4. </w:t>
      </w:r>
      <w:r>
        <w:rPr>
          <w:b/>
          <w:bCs/>
        </w:rPr>
        <w:t xml:space="preserve">Operational Timeline Recorder</w:t>
      </w:r>
      <w:r>
        <w:t xml:space="preserve">: Chronologically sequences actions, observations, and timestamps.</w:t>
      </w:r>
    </w:p>
    <w:p>
      <w:pPr>
        <w:spacing w:after="100"/>
        <w:ind w:start="20"/>
        <w:jc w:val="left"/>
      </w:pPr>
      <w:r>
        <w:t xml:space="preserve">5. </w:t>
      </w:r>
      <w:r>
        <w:rPr>
          <w:b/>
          <w:bCs/>
        </w:rPr>
        <w:t xml:space="preserve">Executive PIR Generator</w:t>
      </w:r>
      <w:r>
        <w:t xml:space="preserve">: Compiles findings into an executive-level post-mortem document.</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1" w:id="11"/>
      <w:bookmarkEnd w:id="11"/>
      <w:r>
        <w:t xml:space="preserve">7. Testing &amp; Verification</w:t>
      </w:r>
    </w:p>
    <w:p>
      <w:pPr>
        <w:spacing w:after="200"/>
      </w:pPr>
      <w:r>
        <w:t xml:space="preserve"> </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CellMar>
          <w:top w:type="dxa" w:w="80"/>
          <w:left w:type="dxa" w:w="120"/>
          <w:bottom w:type="dxa" w:w="80"/>
          <w:right w:type="dxa" w:w="120"/>
        </w:tblCellMar>
      </w:tblPr>
      <w:tblGrid>
        <w:gridCol w:w="1061"/>
        <w:gridCol w:w="1930"/>
        <w:gridCol w:w="2605"/>
        <w:gridCol w:w="2798"/>
        <w:gridCol w:w="966"/>
      </w:tblGrid>
      <w:tr>
        <w:trPr>
          <w:tblHeader/>
        </w:trPr>
        <w:tc>
          <w:p>
            <w:pPr>
              <w:jc w:val="left"/>
            </w:pPr>
            <w:r>
              <w:rPr>
                <w:b/>
                <w:bCs/>
              </w:rPr>
              <w:t xml:space="preserve">Test ID</w:t>
            </w:r>
          </w:p>
        </w:tc>
        <w:tc>
          <w:p>
            <w:pPr>
              <w:jc w:val="left"/>
            </w:pPr>
            <w:r>
              <w:rPr>
                <w:b/>
                <w:bCs/>
              </w:rPr>
              <w:t xml:space="preserve">Scenario</w:t>
            </w:r>
          </w:p>
        </w:tc>
        <w:tc>
          <w:p>
            <w:pPr>
              <w:jc w:val="left"/>
            </w:pPr>
            <w:r>
              <w:rPr>
                <w:b/>
                <w:bCs/>
              </w:rPr>
              <w:t xml:space="preserve">Input Parameters</w:t>
            </w:r>
          </w:p>
        </w:tc>
        <w:tc>
          <w:p>
            <w:pPr>
              <w:jc w:val="left"/>
            </w:pPr>
            <w:r>
              <w:rPr>
                <w:b/>
                <w:bCs/>
              </w:rPr>
              <w:t xml:space="preserve">Expected Result</w:t>
            </w:r>
          </w:p>
        </w:tc>
        <w:tc>
          <w:p>
            <w:pPr>
              <w:jc w:val="left"/>
            </w:pPr>
            <w:r>
              <w:rPr>
                <w:b/>
                <w:bCs/>
              </w:rPr>
              <w:t xml:space="preserve">Status</w:t>
            </w:r>
          </w:p>
        </w:tc>
      </w:tr>
      <w:tr>
        <w:tc>
          <w:p>
            <w:pPr>
              <w:jc w:val="left"/>
            </w:pPr>
            <w:r>
              <w:rPr>
                <w:b/>
                <w:bCs/>
              </w:rPr>
              <w:t xml:space="preserve">CI-01</w:t>
            </w:r>
          </w:p>
        </w:tc>
        <w:tc>
          <w:p>
            <w:pPr>
              <w:jc w:val="left"/>
            </w:pPr>
            <w:r>
              <w:t xml:space="preserve">Ransomware Classification</w:t>
            </w:r>
          </w:p>
        </w:tc>
        <w:tc>
          <w:p>
            <w:pPr>
              <w:jc w:val="left"/>
            </w:pPr>
            <w:r>
              <w:t xml:space="preserve">14 hosts, Data Encrypted, Ransomware Vector</w:t>
            </w:r>
          </w:p>
        </w:tc>
        <w:tc>
          <w:p>
            <w:pPr>
              <w:jc w:val="left"/>
            </w:pPr>
            <w:r>
              <w:t xml:space="preserve">Graded as P1 - CRITICAL; Loads Ransomware Playbook</w:t>
            </w:r>
          </w:p>
        </w:tc>
        <w:tc>
          <w:p>
            <w:pPr>
              <w:jc w:val="left"/>
            </w:pPr>
            <w:r>
              <w:t xml:space="preserve">PASSED</w:t>
            </w:r>
          </w:p>
        </w:tc>
      </w:tr>
      <w:tr>
        <w:tc>
          <w:p>
            <w:pPr>
              <w:jc w:val="left"/>
            </w:pPr>
            <w:r>
              <w:rPr>
                <w:b/>
                <w:bCs/>
              </w:rPr>
              <w:t xml:space="preserve">CI-02</w:t>
            </w:r>
          </w:p>
        </w:tc>
        <w:tc>
          <w:p>
            <w:pPr>
              <w:jc w:val="left"/>
            </w:pPr>
            <w:r>
              <w:t xml:space="preserve">Minor Phishing Triage</w:t>
            </w:r>
          </w:p>
        </w:tc>
        <w:tc>
          <w:p>
            <w:pPr>
              <w:jc w:val="left"/>
            </w:pPr>
            <w:r>
              <w:t xml:space="preserve">1 host, Internal telemetry, Phishing Vector</w:t>
            </w:r>
          </w:p>
        </w:tc>
        <w:tc>
          <w:p>
            <w:pPr>
              <w:jc w:val="left"/>
            </w:pPr>
            <w:r>
              <w:t xml:space="preserve">Graded as P4 - LOW; Loads Phishing Playbook</w:t>
            </w:r>
          </w:p>
        </w:tc>
        <w:tc>
          <w:p>
            <w:pPr>
              <w:jc w:val="left"/>
            </w:pPr>
            <w:r>
              <w:t xml:space="preserve">PASSED</w:t>
            </w:r>
          </w:p>
        </w:tc>
      </w:tr>
      <w:tr>
        <w:tc>
          <w:p>
            <w:pPr>
              <w:jc w:val="left"/>
            </w:pPr>
            <w:r>
              <w:rPr>
                <w:b/>
                <w:bCs/>
              </w:rPr>
              <w:t xml:space="preserve">CI-03</w:t>
            </w:r>
          </w:p>
        </w:tc>
        <w:tc>
          <w:p>
            <w:pPr>
              <w:jc w:val="left"/>
            </w:pPr>
            <w:r>
              <w:t xml:space="preserve">IOC Dynamic Addition</w:t>
            </w:r>
          </w:p>
        </w:tc>
        <w:tc>
          <w:p>
            <w:pPr>
              <w:jc w:val="left"/>
            </w:pPr>
            <w:r>
              <w:t xml:space="preserve">SHA-256 Hash input</w:t>
            </w:r>
          </w:p>
        </w:tc>
        <w:tc>
          <w:p>
            <w:pPr>
              <w:jc w:val="left"/>
            </w:pPr>
            <w:r>
              <w:t xml:space="preserve">Successfully appended to state table and report</w:t>
            </w:r>
          </w:p>
        </w:tc>
        <w:tc>
          <w:p>
            <w:pPr>
              <w:jc w:val="left"/>
            </w:pPr>
            <w:r>
              <w:t xml:space="preserve">PASSED</w:t>
            </w:r>
          </w:p>
        </w:tc>
      </w:tr>
      <w:tr>
        <w:tc>
          <w:p>
            <w:pPr>
              <w:jc w:val="left"/>
            </w:pPr>
            <w:r>
              <w:rPr>
                <w:b/>
                <w:bCs/>
              </w:rPr>
              <w:t xml:space="preserve">CI-04</w:t>
            </w:r>
          </w:p>
        </w:tc>
        <w:tc>
          <w:p>
            <w:pPr>
              <w:jc w:val="left"/>
            </w:pPr>
            <w:r>
              <w:t xml:space="preserve">Timeline Sequencing</w:t>
            </w:r>
          </w:p>
        </w:tc>
        <w:tc>
          <w:p>
            <w:pPr>
              <w:jc w:val="left"/>
            </w:pPr>
            <w:r>
              <w:t xml:space="preserve">Action log entries</w:t>
            </w:r>
          </w:p>
        </w:tc>
        <w:tc>
          <w:p>
            <w:pPr>
              <w:jc w:val="left"/>
            </w:pPr>
            <w:r>
              <w:t xml:space="preserve">Renders chronological table with timestamps</w:t>
            </w:r>
          </w:p>
        </w:tc>
        <w:tc>
          <w:p>
            <w:pPr>
              <w:jc w:val="left"/>
            </w:pPr>
            <w:r>
              <w:t xml:space="preserve">PASSED</w:t>
            </w:r>
          </w:p>
        </w:tc>
      </w:tr>
      <w:tr>
        <w:tc>
          <w:p>
            <w:pPr>
              <w:jc w:val="left"/>
            </w:pPr>
            <w:r>
              <w:rPr>
                <w:b/>
                <w:bCs/>
              </w:rPr>
              <w:t xml:space="preserve">CI-05</w:t>
            </w:r>
          </w:p>
        </w:tc>
        <w:tc>
          <w:p>
            <w:pPr>
              <w:jc w:val="left"/>
            </w:pPr>
            <w:r>
              <w:t xml:space="preserve">JSON Export Integrity</w:t>
            </w:r>
          </w:p>
        </w:tc>
        <w:tc>
          <w:p>
            <w:pPr>
              <w:jc w:val="left"/>
            </w:pPr>
            <w:r>
              <w:t xml:space="preserve">Full incident session</w:t>
            </w:r>
          </w:p>
        </w:tc>
        <w:tc>
          <w:p>
            <w:pPr>
              <w:jc w:val="left"/>
            </w:pPr>
            <w:r>
              <w:t xml:space="preserve">Outputs valid RFC-8259 compliant JSON</w:t>
            </w:r>
          </w:p>
        </w:tc>
        <w:tc>
          <w:p>
            <w:pPr>
              <w:jc w:val="left"/>
            </w:pPr>
            <w:r>
              <w:t xml:space="preserve">PASSED</w:t>
            </w:r>
          </w:p>
        </w:tc>
      </w:tr>
      <w:tr>
        <w:tc>
          <w:p>
            <w:pPr>
              <w:jc w:val="left"/>
            </w:pPr>
            <w:r>
              <w:rPr>
                <w:b/>
                <w:bCs/>
              </w:rPr>
              <w:t xml:space="preserve">CI-06</w:t>
            </w:r>
          </w:p>
        </w:tc>
        <w:tc>
          <w:p>
            <w:pPr>
              <w:jc w:val="left"/>
            </w:pPr>
            <w:r>
              <w:t xml:space="preserve">Markdown PIR Render</w:t>
            </w:r>
          </w:p>
        </w:tc>
        <w:tc>
          <w:p>
            <w:pPr>
              <w:jc w:val="left"/>
            </w:pPr>
            <w:r>
              <w:t xml:space="preserve">Report generation trigger</w:t>
            </w:r>
          </w:p>
        </w:tc>
        <w:tc>
          <w:p>
            <w:pPr>
              <w:jc w:val="left"/>
            </w:pPr>
            <w:r>
              <w:t xml:space="preserve">Compiles readable markdown post-mortem</w:t>
            </w:r>
          </w:p>
        </w:tc>
        <w:tc>
          <w:p>
            <w:pPr>
              <w:jc w:val="left"/>
            </w:pPr>
            <w:r>
              <w:t xml:space="preserve">PASSED</w:t>
            </w:r>
          </w:p>
        </w:tc>
      </w:tr>
    </w:tbl>
    <w:p>
      <w:pPr>
        <w:spacing w:before="240"/>
      </w:pPr>
      <w:r>
        <w:t xml:space="preserve"> </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2" w:id="12"/>
      <w:bookmarkEnd w:id="12"/>
      <w:r>
        <w:t xml:space="preserve">8. Security &amp; Ethical Considerations</w:t>
      </w:r>
    </w:p>
    <w:p>
      <w:pPr>
        <w:pStyle w:val="ListParagraph"/>
        <w:numPr>
          <w:ilvl w:val="0"/>
          <w:numId w:val="2"/>
        </w:numPr>
        <w:tabs>
          <w:tab w:val="num" w:pos="360"/>
        </w:tabs>
        <w:spacing w:after="100"/>
        <w:ind w:start="360" w:hanging="360"/>
        <w:jc w:val="left"/>
      </w:pPr>
      <w:r>
        <w:rPr>
          <w:b/>
          <w:bCs/>
        </w:rPr>
        <w:t xml:space="preserve">Confidentiality by Design</w:t>
      </w:r>
      <w:r>
        <w:t xml:space="preserve">: Operates locally within the incident responder's workstation; no telemetry or IOCs are leaked to external clouds.</w:t>
      </w:r>
    </w:p>
    <w:p>
      <w:pPr>
        <w:pStyle w:val="ListParagraph"/>
        <w:numPr>
          <w:ilvl w:val="0"/>
          <w:numId w:val="2"/>
        </w:numPr>
        <w:tabs>
          <w:tab w:val="num" w:pos="360"/>
        </w:tabs>
        <w:spacing w:after="100"/>
        <w:ind w:start="360" w:hanging="360"/>
        <w:jc w:val="left"/>
      </w:pPr>
      <w:r>
        <w:rPr>
          <w:b/>
          <w:bCs/>
        </w:rPr>
        <w:t xml:space="preserve">Defensible Documentation</w:t>
      </w:r>
      <w:r>
        <w:t xml:space="preserve">: Creates timestamped, unalterable audit trails vital for post-breach regulatory reviews and insurance claims.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3" w:id="13"/>
      <w:bookmarkEnd w:id="13"/>
      <w:r>
        <w:t xml:space="preserve">9. Future Enhancements</w:t>
      </w:r>
    </w:p>
    <w:p>
      <w:pPr>
        <w:pStyle w:val="ListParagraph"/>
        <w:numPr>
          <w:ilvl w:val="0"/>
          <w:numId w:val="2"/>
        </w:numPr>
        <w:tabs>
          <w:tab w:val="num" w:pos="360"/>
        </w:tabs>
        <w:spacing w:after="100"/>
        <w:ind w:start="360" w:hanging="360"/>
        <w:jc w:val="left"/>
      </w:pPr>
      <w:r>
        <w:t xml:space="preserve">Integration with MISP (Malware Information Sharing Platform) and OpenCTI for automated threat intelligence enrichment.</w:t>
      </w:r>
    </w:p>
    <w:p>
      <w:pPr>
        <w:pStyle w:val="ListParagraph"/>
        <w:numPr>
          <w:ilvl w:val="0"/>
          <w:numId w:val="2"/>
        </w:numPr>
        <w:tabs>
          <w:tab w:val="num" w:pos="360"/>
        </w:tabs>
        <w:spacing w:after="100"/>
        <w:ind w:start="360" w:hanging="360"/>
        <w:jc w:val="left"/>
      </w:pPr>
      <w:r>
        <w:t xml:space="preserve">Automated API triggers to isolate endpoints directly through EDR platforms (CrowdStrike, SentinelOne).</w:t>
      </w:r>
    </w:p>
    <w:p>
      <w:pPr>
        <w:pStyle w:val="ListParagraph"/>
        <w:numPr>
          <w:ilvl w:val="0"/>
          <w:numId w:val="2"/>
        </w:numPr>
        <w:tabs>
          <w:tab w:val="num" w:pos="360"/>
        </w:tabs>
        <w:spacing w:after="100"/>
        <w:ind w:start="360" w:hanging="360"/>
        <w:jc w:val="left"/>
      </w:pPr>
      <w:r>
        <w:t xml:space="preserve">Integration with Slack and Microsoft Teams webhooks for automated SOC paging during P1 incidents.</w:t>
      </w:r>
    </w:p>
    <w:p>
      <w:pPr>
        <w:spacing w:after="200"/>
      </w:pPr>
      <w:r>
        <w:t xml:space="preserve"> </w:t>
      </w:r>
    </w:p>
    <w:p>
      <w:pPr>
        <w:pBdr>
          <w:bottom w:val="single" w:color="auto" w:sz="6" w:space="1"/>
        </w:pBdr>
        <w:spacing w:after="120"/>
      </w:pPr>
    </w:p>
    <w:p>
      <w:pPr>
        <w:spacing w:after="200"/>
      </w:pPr>
      <w:r>
        <w:t xml:space="preserve"> </w:t>
      </w:r>
    </w:p>
    <w:p>
      <w:pPr>
        <w:pStyle w:val="Heading2"/>
        <w:spacing w:after="200"/>
        <w:jc w:val="left"/>
      </w:pPr>
      <w:bookmarkStart w:name="md_anchor_14" w:id="14"/>
      <w:bookmarkEnd w:id="14"/>
      <w:r>
        <w:t xml:space="preserve">10. Conclusion</w:t>
      </w:r>
    </w:p>
    <w:p>
      <w:pPr>
        <w:spacing w:after="120"/>
        <w:jc w:val="left"/>
      </w:pPr>
      <w:r>
        <w:t xml:space="preserve">CyberIncident addresses the critical communication and procedural challenges inherent to cybersecurity crisis response. By grounding operational workflows in NIST SP 800-61 standards and automating severity scoring and post-incident reporting, it equips cybersecurity teams with the structure and speed necessary to contain and overcome modern cyber attacks.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3"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abstractNum w:abstractNumId="4" w15:restartNumberingAfterBreak="0">
    <w:multiLevelType w:val="hybridMultilevel"/>
    <w:lvl w:ilvl="0" w15:tentative="1">
      <w:start w:val="1"/>
      <w:numFmt w:val="bullet"/>
      <w:suff w:val="tab"/>
      <w:lvlText w:val="☐"/>
      <w:lvlJc w:val="start"/>
      <w:pPr>
        <w:ind w:start="360" w:hanging="360"/>
      </w:pPr>
    </w:lvl>
    <w:lvl w:ilvl="1" w15:tentative="1">
      <w:start w:val="1"/>
      <w:numFmt w:val="bullet"/>
      <w:suff w:val="tab"/>
      <w:lvlText w:val="☐"/>
      <w:lvlJc w:val="start"/>
      <w:pPr>
        <w:ind w:start="780" w:hanging="360"/>
      </w:pPr>
    </w:lvl>
    <w:lvl w:ilvl="2" w15:tentative="1">
      <w:start w:val="1"/>
      <w:numFmt w:val="bullet"/>
      <w:suff w:val="tab"/>
      <w:lvlText w:val="☐"/>
      <w:lvlJc w:val="start"/>
      <w:pPr>
        <w:ind w:start="1200" w:hanging="360"/>
      </w:pPr>
    </w:lvl>
    <w:lvl w:ilvl="3" w15:tentative="1">
      <w:start w:val="1"/>
      <w:numFmt w:val="bullet"/>
      <w:suff w:val="tab"/>
      <w:lvlText w:val="☐"/>
      <w:lvlJc w:val="start"/>
      <w:pPr>
        <w:ind w:start="1620" w:hanging="360"/>
      </w:pPr>
    </w:lvl>
    <w:lvl w:ilvl="4" w15:tentative="1">
      <w:start w:val="1"/>
      <w:numFmt w:val="bullet"/>
      <w:suff w:val="tab"/>
      <w:lvlText w:val="☐"/>
      <w:lvlJc w:val="start"/>
      <w:pPr>
        <w:ind w:start="2040" w:hanging="360"/>
      </w:pPr>
    </w:lvl>
    <w:lvl w:ilvl="5" w15:tentative="1">
      <w:start w:val="1"/>
      <w:numFmt w:val="bullet"/>
      <w:suff w:val="tab"/>
      <w:lvlText w:val="☐"/>
      <w:lvlJc w:val="start"/>
      <w:pPr>
        <w:ind w:start="2460" w:hanging="360"/>
      </w:pPr>
    </w:lvl>
    <w:lvl w:ilvl="6" w15:tentative="1">
      <w:start w:val="1"/>
      <w:numFmt w:val="bullet"/>
      <w:suff w:val="tab"/>
      <w:lvlText w:val="☐"/>
      <w:lvlJc w:val="start"/>
      <w:pPr>
        <w:ind w:start="2880" w:hanging="360"/>
      </w:pPr>
    </w:lvl>
    <w:lvl w:ilvl="7" w15:tentative="1">
      <w:start w:val="1"/>
      <w:numFmt w:val="bullet"/>
      <w:suff w:val="tab"/>
      <w:lvlText w:val="☐"/>
      <w:lvlJc w:val="start"/>
      <w:pPr>
        <w:ind w:start="3300" w:hanging="360"/>
      </w:pPr>
    </w:lvl>
    <w:lvl w:ilvl="8" w15:tentative="1">
      <w:start w:val="1"/>
      <w:numFmt w:val="bullet"/>
      <w:suff w:val="tab"/>
      <w:lvlText w:val="☐"/>
      <w:lvlJc w:val="start"/>
      <w:pPr>
        <w:ind w:start="3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jc w:val="lef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b/>
      <w:bCs/>
      <w:color w:val="000000"/>
      <w:sz w:val="40"/>
      <w:szCs w:val="40"/>
    </w:rPr>
  </w:style>
  <w:style w:type="paragraph" w:styleId="Heading2">
    <w:name w:val="Heading 2"/>
    <w:basedOn w:val="Normal"/>
    <w:next w:val="Normal"/>
    <w:qFormat/>
    <w:rPr>
      <w:b/>
      <w:bCs/>
      <w:color w:val="000000"/>
      <w:sz w:val="36"/>
      <w:szCs w:val="36"/>
    </w:rPr>
  </w:style>
  <w:style w:type="paragraph" w:styleId="Heading3">
    <w:name w:val="Heading 3"/>
    <w:basedOn w:val="Normal"/>
    <w:next w:val="Normal"/>
    <w:qFormat/>
    <w:rPr>
      <w:b/>
      <w:bCs/>
      <w:color w:val="000000"/>
      <w:sz w:val="32"/>
      <w:szCs w:val="32"/>
    </w:rPr>
  </w:style>
  <w:style w:type="paragraph" w:styleId="Heading4">
    <w:name w:val="Heading 4"/>
    <w:basedOn w:val="Normal"/>
    <w:next w:val="Normal"/>
    <w:qFormat/>
    <w:rPr>
      <w:b/>
      <w:bCs/>
      <w:color w:val="000000"/>
      <w:sz w:val="28"/>
      <w:szCs w:val="28"/>
    </w:rPr>
  </w:style>
  <w:style w:type="paragraph" w:styleId="Heading5">
    <w:name w:val="Heading 5"/>
    <w:basedOn w:val="Normal"/>
    <w:next w:val="Normal"/>
    <w:qFormat/>
    <w:rPr>
      <w:b/>
      <w:bCs/>
      <w:color w:val="000000"/>
      <w:sz w:val="24"/>
      <w:szCs w:val="24"/>
    </w:rPr>
  </w:style>
  <w:style w:type="paragraph" w:styleId="Heading6">
    <w:name w:val="Heading 6"/>
    <w:basedOn w:val="Normal"/>
    <w:next w:val="Normal"/>
    <w:qFormat/>
    <w:rPr>
      <w:b/>
      <w:bCs/>
      <w:color w:val="000000"/>
      <w:sz w:val="20"/>
      <w:szCs w:val="2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309726715dab8b42336fb304fc940fc44454640.png"/><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2026-10-23T09:43:40.115Z</dcterms:created>
  <dcterms:modified xsi:type="dcterms:W3CDTF">2026-10-23T09:43:40.115Z</dcterms:modified>
</cp:coreProperties>
</file>

<file path=docProps/custom.xml><?xml version="1.0" encoding="utf-8"?>
<Properties xmlns="http://schemas.openxmlformats.org/officeDocument/2006/custom-properties" xmlns:vt="http://schemas.openxmlformats.org/officeDocument/2006/docPropsVTypes"/>
</file>