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Arial" w:hAnsi="Arial"/>
          <w:b/>
          <w:color w:val="0F2942"/>
          <w:sz w:val="44"/>
        </w:rPr>
        <w:t>EXPLORATORY DATA ANALYSIS (EDA) AND ADVANCED VISUALIZATION OF URBAN MOBILITY DYNAMICS</w:t>
      </w:r>
    </w:p>
    <w:p>
      <w:pPr>
        <w:spacing w:after="480"/>
      </w:pPr>
      <w:r>
        <w:rPr>
          <w:rFonts w:ascii="Calibri" w:hAnsi="Calibri"/>
          <w:color w:val="1F5F8B"/>
          <w:sz w:val="26"/>
        </w:rPr>
        <w:t>An In-Depth Statistical Investigation of Circadian Rhythms, Kinematic Congestion Velocities, Spatial Origin-Destination Matrices, Consumer Gratuity Propensity, and Multi-Modal Fleet Economics</w:t>
      </w:r>
    </w:p>
    <w:tbl>
      <w:tblPr>
        <w:tblW w:type="auto" w:w="0"/>
        <w:jc w:val="center"/>
        <w:tblLook w:firstColumn="1" w:firstRow="1" w:lastColumn="0" w:lastRow="0" w:noHBand="0" w:noVBand="1" w:val="04A0"/>
      </w:tblPr>
      <w:tblGrid>
        <w:gridCol w:w="9360"/>
      </w:tblGrid>
      <w:tr>
        <w:trPr>
          <w:trHeight w:val="80"/>
        </w:trPr>
        <w:tc>
          <w:tcPr>
            <w:tcW w:type="dxa" w:w="9360"/>
            <w:shd w:fill="0F2942"/>
          </w:tcPr>
          <w:p/>
        </w:tc>
      </w:tr>
    </w:tbl>
    <w:p>
      <w:pPr>
        <w:spacing w:after="480"/>
      </w:pPr>
    </w:p>
    <w:tbl>
      <w:tblPr>
        <w:tblW w:type="auto" w:w="0"/>
        <w:jc w:val="center"/>
        <w:tblLook w:firstColumn="1" w:firstRow="1" w:lastColumn="0" w:lastRow="0" w:noHBand="0" w:noVBand="1" w:val="04A0"/>
        <w:tblBorders>
          <w:top w:val="single" w:sz="6" w:space="0" w:color="0F2942"/>
          <w:bottom w:val="single" w:sz="8" w:space="0" w:color="0F2942"/>
          <w:left w:val="none"/>
          <w:right w:val="none"/>
          <w:insideH w:val="single" w:sz="4" w:space="0" w:color="CBD5E1"/>
          <w:insideV w:val="none"/>
        </w:tblBorders>
      </w:tblPr>
      <w:tblGrid>
        <w:gridCol w:w="4680"/>
        <w:gridCol w:w="4680"/>
      </w:tblGrid>
      <w:tr>
        <w:tc>
          <w:tcPr>
            <w:tcW w:type="dxa" w:w="3168"/>
            <w:shd w:fill="F1F5F9"/>
            <w:tcMar>
              <w:top w:w="60" w:type="dxa"/>
              <w:bottom w:w="60" w:type="dxa"/>
              <w:left w:w="100" w:type="dxa"/>
              <w:right w:w="100" w:type="dxa"/>
            </w:tcMar>
          </w:tcPr>
          <w:p>
            <w:pPr>
              <w:spacing w:after="0"/>
            </w:pPr>
            <w:r>
              <w:rPr>
                <w:rFonts w:ascii="Arial" w:hAnsi="Arial"/>
                <w:b/>
                <w:color w:val="0F2942"/>
                <w:sz w:val="20"/>
              </w:rPr>
              <w:t>Research Topic:</w:t>
            </w:r>
          </w:p>
        </w:tc>
        <w:tc>
          <w:tcPr>
            <w:tcW w:type="dxa" w:w="6192"/>
            <w:shd w:fill="FFFFFF"/>
            <w:tcMar>
              <w:top w:w="60" w:type="dxa"/>
              <w:bottom w:w="60" w:type="dxa"/>
              <w:left w:w="100" w:type="dxa"/>
              <w:right w:w="100" w:type="dxa"/>
            </w:tcMar>
          </w:tcPr>
          <w:p>
            <w:pPr>
              <w:spacing w:after="0"/>
            </w:pPr>
            <w:r>
              <w:rPr>
                <w:rFonts w:ascii="Calibri" w:hAnsi="Calibri"/>
                <w:color w:val="2C3E50"/>
                <w:sz w:val="20"/>
              </w:rPr>
              <w:t>Week 2 Exploratory Data Analysis (EDA) &amp; Publication-Grade Data Visualization</w:t>
            </w:r>
          </w:p>
        </w:tc>
      </w:tr>
      <w:tr>
        <w:tc>
          <w:tcPr>
            <w:tcW w:type="dxa" w:w="3168"/>
            <w:shd w:fill="F1F5F9"/>
            <w:tcMar>
              <w:top w:w="60" w:type="dxa"/>
              <w:bottom w:w="60" w:type="dxa"/>
              <w:left w:w="100" w:type="dxa"/>
              <w:right w:w="100" w:type="dxa"/>
            </w:tcMar>
          </w:tcPr>
          <w:p>
            <w:pPr>
              <w:spacing w:after="0"/>
            </w:pPr>
            <w:r>
              <w:rPr>
                <w:rFonts w:ascii="Arial" w:hAnsi="Arial"/>
                <w:b/>
                <w:color w:val="0F2942"/>
                <w:sz w:val="20"/>
              </w:rPr>
              <w:t>Target Corpus:</w:t>
            </w:r>
          </w:p>
        </w:tc>
        <w:tc>
          <w:tcPr>
            <w:tcW w:type="dxa" w:w="6192"/>
            <w:shd w:fill="FFFFFF"/>
            <w:tcMar>
              <w:top w:w="60" w:type="dxa"/>
              <w:bottom w:w="60" w:type="dxa"/>
              <w:left w:w="100" w:type="dxa"/>
              <w:right w:w="100" w:type="dxa"/>
            </w:tcMar>
          </w:tcPr>
          <w:p>
            <w:pPr>
              <w:spacing w:after="0"/>
            </w:pPr>
            <w:r>
              <w:rPr>
                <w:rFonts w:ascii="Calibri" w:hAnsi="Calibri"/>
                <w:color w:val="2C3E50"/>
                <w:sz w:val="20"/>
              </w:rPr>
              <w:t>NYC Taxi &amp; Limousine Commission (TLC) Multi-Modal Telemetry (6,360 records, 35 features)</w:t>
            </w:r>
          </w:p>
        </w:tc>
      </w:tr>
      <w:tr>
        <w:tc>
          <w:tcPr>
            <w:tcW w:type="dxa" w:w="3168"/>
            <w:shd w:fill="F1F5F9"/>
            <w:tcMar>
              <w:top w:w="60" w:type="dxa"/>
              <w:bottom w:w="60" w:type="dxa"/>
              <w:left w:w="100" w:type="dxa"/>
              <w:right w:w="100" w:type="dxa"/>
            </w:tcMar>
          </w:tcPr>
          <w:p>
            <w:pPr>
              <w:spacing w:after="0"/>
            </w:pPr>
            <w:r>
              <w:rPr>
                <w:rFonts w:ascii="Arial" w:hAnsi="Arial"/>
                <w:b/>
                <w:color w:val="0F2942"/>
                <w:sz w:val="20"/>
              </w:rPr>
              <w:t>Primary Deliverable:</w:t>
            </w:r>
          </w:p>
        </w:tc>
        <w:tc>
          <w:tcPr>
            <w:tcW w:type="dxa" w:w="6192"/>
            <w:shd w:fill="FFFFFF"/>
            <w:tcMar>
              <w:top w:w="60" w:type="dxa"/>
              <w:bottom w:w="60" w:type="dxa"/>
              <w:left w:w="100" w:type="dxa"/>
              <w:right w:w="100" w:type="dxa"/>
            </w:tcMar>
          </w:tcPr>
          <w:p>
            <w:pPr>
              <w:spacing w:after="0"/>
            </w:pPr>
            <w:r>
              <w:rPr>
                <w:rFonts w:ascii="Calibri" w:hAnsi="Calibri"/>
                <w:color w:val="2C3E50"/>
                <w:sz w:val="20"/>
              </w:rPr>
              <w:t>Comprehensive Technical Report &amp; Visualization Interpretations (DOCX format)</w:t>
            </w:r>
          </w:p>
        </w:tc>
      </w:tr>
      <w:tr>
        <w:tc>
          <w:tcPr>
            <w:tcW w:type="dxa" w:w="3168"/>
            <w:shd w:fill="F1F5F9"/>
            <w:tcMar>
              <w:top w:w="60" w:type="dxa"/>
              <w:bottom w:w="60" w:type="dxa"/>
              <w:left w:w="100" w:type="dxa"/>
              <w:right w:w="100" w:type="dxa"/>
            </w:tcMar>
          </w:tcPr>
          <w:p>
            <w:pPr>
              <w:spacing w:after="0"/>
            </w:pPr>
            <w:r>
              <w:rPr>
                <w:rFonts w:ascii="Arial" w:hAnsi="Arial"/>
                <w:b/>
                <w:color w:val="0F2942"/>
                <w:sz w:val="20"/>
              </w:rPr>
              <w:t>Author / Analyst:</w:t>
            </w:r>
          </w:p>
        </w:tc>
        <w:tc>
          <w:tcPr>
            <w:tcW w:type="dxa" w:w="6192"/>
            <w:shd w:fill="FFFFFF"/>
            <w:tcMar>
              <w:top w:w="60" w:type="dxa"/>
              <w:bottom w:w="60" w:type="dxa"/>
              <w:left w:w="100" w:type="dxa"/>
              <w:right w:w="100" w:type="dxa"/>
            </w:tcMar>
          </w:tcPr>
          <w:p>
            <w:pPr>
              <w:spacing w:after="0"/>
            </w:pPr>
            <w:r>
              <w:rPr>
                <w:rFonts w:ascii="Calibri" w:hAnsi="Calibri"/>
                <w:color w:val="2C3E50"/>
                <w:sz w:val="20"/>
              </w:rPr>
              <w:t>Rohit (Applied Data Science &amp; Machine Learning Engineering)</w:t>
            </w:r>
          </w:p>
        </w:tc>
      </w:tr>
      <w:tr>
        <w:tc>
          <w:tcPr>
            <w:tcW w:type="dxa" w:w="3168"/>
            <w:shd w:fill="F1F5F9"/>
            <w:tcMar>
              <w:top w:w="60" w:type="dxa"/>
              <w:bottom w:w="60" w:type="dxa"/>
              <w:left w:w="100" w:type="dxa"/>
              <w:right w:w="100" w:type="dxa"/>
            </w:tcMar>
          </w:tcPr>
          <w:p>
            <w:pPr>
              <w:spacing w:after="0"/>
            </w:pPr>
            <w:r>
              <w:rPr>
                <w:rFonts w:ascii="Arial" w:hAnsi="Arial"/>
                <w:b/>
                <w:color w:val="0F2942"/>
                <w:sz w:val="20"/>
              </w:rPr>
              <w:t>Analytical Scope:</w:t>
            </w:r>
          </w:p>
        </w:tc>
        <w:tc>
          <w:tcPr>
            <w:tcW w:type="dxa" w:w="6192"/>
            <w:shd w:fill="FFFFFF"/>
            <w:tcMar>
              <w:top w:w="60" w:type="dxa"/>
              <w:bottom w:w="60" w:type="dxa"/>
              <w:left w:w="100" w:type="dxa"/>
              <w:right w:w="100" w:type="dxa"/>
            </w:tcMar>
          </w:tcPr>
          <w:p>
            <w:pPr>
              <w:spacing w:after="0"/>
            </w:pPr>
            <w:r>
              <w:rPr>
                <w:rFonts w:ascii="Calibri" w:hAnsi="Calibri"/>
                <w:color w:val="2C3E50"/>
                <w:sz w:val="20"/>
              </w:rPr>
              <w:t>30 to 35 Hours Statistical Synthesis, Hypothesis Testing &amp; Visual Analytics</w:t>
            </w:r>
          </w:p>
        </w:tc>
      </w:tr>
      <w:tr>
        <w:tc>
          <w:tcPr>
            <w:tcW w:type="dxa" w:w="3168"/>
            <w:shd w:fill="F1F5F9"/>
            <w:tcMar>
              <w:top w:w="60" w:type="dxa"/>
              <w:bottom w:w="60" w:type="dxa"/>
              <w:left w:w="100" w:type="dxa"/>
              <w:right w:w="100" w:type="dxa"/>
            </w:tcMar>
          </w:tcPr>
          <w:p>
            <w:pPr>
              <w:spacing w:after="0"/>
            </w:pPr>
            <w:r>
              <w:rPr>
                <w:rFonts w:ascii="Arial" w:hAnsi="Arial"/>
                <w:b/>
                <w:color w:val="0F2942"/>
                <w:sz w:val="20"/>
              </w:rPr>
              <w:t>Software Architecture:</w:t>
            </w:r>
          </w:p>
        </w:tc>
        <w:tc>
          <w:tcPr>
            <w:tcW w:type="dxa" w:w="6192"/>
            <w:shd w:fill="FFFFFF"/>
            <w:tcMar>
              <w:top w:w="60" w:type="dxa"/>
              <w:bottom w:w="60" w:type="dxa"/>
              <w:left w:w="100" w:type="dxa"/>
              <w:right w:w="100" w:type="dxa"/>
            </w:tcMar>
          </w:tcPr>
          <w:p>
            <w:pPr>
              <w:spacing w:after="0"/>
            </w:pPr>
            <w:r>
              <w:rPr>
                <w:rFonts w:ascii="Calibri" w:hAnsi="Calibri"/>
                <w:color w:val="2C3E50"/>
                <w:sz w:val="20"/>
              </w:rPr>
              <w:t>Python 3.13 | Pandas 3.0 | Seaborn 0.13 | Matplotlib 3.10 | Scipy 1.18</w:t>
            </w:r>
          </w:p>
        </w:tc>
      </w:tr>
    </w:tbl>
    <w:p>
      <w:r>
        <w:br w:type="page"/>
      </w:r>
    </w:p>
    <w:p>
      <w:pPr>
        <w:keepNext/>
        <w:spacing w:before="440" w:after="160"/>
      </w:pPr>
      <w:r>
        <w:rPr>
          <w:rFonts w:ascii="Arial" w:hAnsi="Arial"/>
          <w:b/>
          <w:color w:val="0F2942"/>
          <w:sz w:val="33"/>
        </w:rPr>
        <w:t>Executive Summary</w:t>
      </w:r>
    </w:p>
    <w:p>
      <w:pPr>
        <w:spacing w:after="120" w:line="276" w:lineRule="auto"/>
      </w:pPr>
      <w:r>
        <w:rPr>
          <w:rFonts w:ascii="Calibri" w:hAnsi="Calibri"/>
          <w:color w:val="2C3E50"/>
          <w:sz w:val="22"/>
        </w:rPr>
        <w:t>Exploratory Data Analysis (EDA) is the cornerstone of statistical inference and data science. Far beyond calculating superficial summary tables, rigorous EDA represents a systematic forensic interrogation of data distributions, spatial-temporal patterns, behavioral economic interactions, and latent structural signals. This report provides an in-depth exploratory analysis of the New York City Taxi and Limousine Commission (NYC TLC) urban mobility dataset, comprising 6,360 statistically validated trip records across 35 multi-dimensional features.</w:t>
      </w:r>
    </w:p>
    <w:p>
      <w:pPr>
        <w:spacing w:after="120" w:line="276" w:lineRule="auto"/>
      </w:pPr>
      <w:r>
        <w:rPr>
          <w:rFonts w:ascii="Calibri" w:hAnsi="Calibri"/>
          <w:color w:val="2C3E50"/>
          <w:sz w:val="22"/>
        </w:rPr>
        <w:t>Utilizing Python's scientific ecosystem—primarily Pandas, Seaborn, Matplotlib, and Scipy—this investigation dissects four core thematic domains: (1) Circadian and weekly demand rhythms coupled with kinematic traffic velocity decay; (2) Spatial origin-destination transition dynamics across the five NYC boroughs; (3) Consumer gratuity behavior and tip percentage elasticity under electronic payment; and (4) Multi-modal fleet economics contrasting Manhattan Yellow Medallion cabs against outer-borough Green Boro Taxis and airport transit.</w:t>
      </w:r>
    </w:p>
    <w:tbl>
      <w:tblPr>
        <w:tblW w:type="auto" w:w="0"/>
        <w:jc w:val="center"/>
        <w:tblLook w:firstColumn="1" w:firstRow="1" w:lastColumn="0" w:lastRow="0" w:noHBand="0" w:noVBand="1" w:val="04A0"/>
      </w:tblPr>
      <w:tblGrid>
        <w:gridCol w:w="9360"/>
      </w:tblGrid>
      <w:tr>
        <w:tc>
          <w:tcPr>
            <w:tcW w:type="dxa" w:w="9360"/>
            <w:shd w:fill="EAF2F8"/>
            <w:tcMar>
              <w:top w:w="130" w:type="dxa"/>
              <w:bottom w:w="130" w:type="dxa"/>
              <w:left w:w="180" w:type="dxa"/>
              <w:right w:w="160" w:type="dxa"/>
            </w:tcMar>
            <w:tcBorders>
              <w:left w:val="single" w:sz="24" w:space="0" w:color="0F2942"/>
              <w:top w:val="none"/>
              <w:right w:val="none"/>
              <w:bottom w:val="none"/>
            </w:tcBorders>
          </w:tcPr>
          <w:p>
            <w:pPr>
              <w:spacing w:after="80"/>
            </w:pPr>
            <w:r>
              <w:rPr>
                <w:rFonts w:ascii="Arial" w:hAnsi="Arial"/>
                <w:b/>
                <w:color w:val="0F2942"/>
                <w:sz w:val="20"/>
              </w:rPr>
              <w:t>★ EXECUTIVE TAKEAWAYS &amp; EMPIRICAL HIGHLIGHTS</w:t>
              <w:br/>
            </w:r>
            <w:r>
              <w:rPr>
                <w:rFonts w:ascii="Calibri" w:hAnsi="Calibri"/>
                <w:i/>
                <w:color w:val="2C3E50"/>
                <w:sz w:val="20"/>
              </w:rPr>
              <w:t>Key Quantitative Discoveries: (1) Congestion Kinematics: Peak rush hour traffic induces a statistically significant velocity penalty, dropping average speed from 12.02 mph off-peak to 10.09 mph during rush hour (t = -13.46, p = 1.75e-40), with 8:00 AM recording an extreme low of 8.9 mph. (2) Gratuity Anchoring: On electronic transactions, consumers exhibit tight clustering around the standard 20% to 25% suggested tip prompts (mean = 23.8%, median = 25.5%), with party size exerting a statistically significant impact on tip propensity (Kruskal-Wallis H = 15.50, p = 0.0084). (3) Spatial Concentration: 88.4% of all Manhattan pickups terminate within Manhattan itself, underscoring an hyper-localized urban micro-mobility circuit.</w:t>
            </w:r>
          </w:p>
        </w:tc>
      </w:tr>
    </w:tbl>
    <w:p>
      <w:pPr>
        <w:spacing w:after="80"/>
      </w:pPr>
    </w:p>
    <w:p>
      <w:pPr>
        <w:keepNext/>
        <w:spacing w:before="280" w:after="100"/>
      </w:pPr>
      <w:r>
        <w:rPr>
          <w:rFonts w:ascii="Arial" w:hAnsi="Arial"/>
          <w:b/>
          <w:color w:val="1F5F8B"/>
          <w:sz w:val="26"/>
        </w:rPr>
        <w:t>Exploratory Data Analysis Scorecard &amp; Empirical Metrics</w:t>
      </w:r>
    </w:p>
    <w:tbl>
      <w:tblPr>
        <w:tblW w:type="auto" w:w="0"/>
        <w:jc w:val="center"/>
        <w:tblLook w:firstColumn="1" w:firstRow="1" w:lastColumn="0" w:lastRow="0" w:noHBand="0" w:noVBand="1" w:val="04A0"/>
        <w:tblBorders>
          <w:top w:val="single" w:sz="6" w:space="0" w:color="0F2942"/>
          <w:bottom w:val="single" w:sz="8" w:space="0" w:color="0F2942"/>
          <w:left w:val="none"/>
          <w:right w:val="none"/>
          <w:insideH w:val="single" w:sz="4" w:space="0" w:color="CBD5E1"/>
          <w:insideV w:val="none"/>
        </w:tblBorders>
      </w:tblPr>
      <w:tblGrid>
        <w:gridCol w:w="2340"/>
        <w:gridCol w:w="2340"/>
        <w:gridCol w:w="2340"/>
        <w:gridCol w:w="2340"/>
      </w:tblGrid>
      <w:tr>
        <w:tc>
          <w:tcPr>
            <w:tcW w:type="dxa" w:w="2160"/>
            <w:shd w:fill="0F2942"/>
            <w:tcMar>
              <w:top w:w="90" w:type="dxa"/>
              <w:bottom w:w="90" w:type="dxa"/>
              <w:left w:w="110" w:type="dxa"/>
              <w:right w:w="110" w:type="dxa"/>
            </w:tcMar>
            <w:vAlign w:val="center"/>
          </w:tcPr>
          <w:p>
            <w:pPr>
              <w:spacing w:after="0"/>
              <w:jc w:val="center"/>
            </w:pPr>
            <w:r>
              <w:rPr>
                <w:rFonts w:ascii="Arial" w:hAnsi="Arial"/>
                <w:b/>
                <w:color w:val="FFFFFF"/>
                <w:sz w:val="19"/>
              </w:rPr>
              <w:t>Analytical Dimension</w:t>
            </w:r>
          </w:p>
        </w:tc>
        <w:tc>
          <w:tcPr>
            <w:tcW w:type="dxa" w:w="2304"/>
            <w:shd w:fill="0F2942"/>
            <w:tcMar>
              <w:top w:w="90" w:type="dxa"/>
              <w:bottom w:w="90" w:type="dxa"/>
              <w:left w:w="110" w:type="dxa"/>
              <w:right w:w="110" w:type="dxa"/>
            </w:tcMar>
            <w:vAlign w:val="center"/>
          </w:tcPr>
          <w:p>
            <w:pPr>
              <w:spacing w:after="0"/>
              <w:jc w:val="center"/>
            </w:pPr>
            <w:r>
              <w:rPr>
                <w:rFonts w:ascii="Arial" w:hAnsi="Arial"/>
                <w:b/>
                <w:color w:val="FFFFFF"/>
                <w:sz w:val="19"/>
              </w:rPr>
              <w:t>Core Evaluated Metric</w:t>
            </w:r>
          </w:p>
        </w:tc>
        <w:tc>
          <w:tcPr>
            <w:tcW w:type="dxa" w:w="2448"/>
            <w:shd w:fill="0F2942"/>
            <w:tcMar>
              <w:top w:w="90" w:type="dxa"/>
              <w:bottom w:w="90" w:type="dxa"/>
              <w:left w:w="110" w:type="dxa"/>
              <w:right w:w="110" w:type="dxa"/>
            </w:tcMar>
            <w:vAlign w:val="center"/>
          </w:tcPr>
          <w:p>
            <w:pPr>
              <w:spacing w:after="0"/>
              <w:jc w:val="center"/>
            </w:pPr>
            <w:r>
              <w:rPr>
                <w:rFonts w:ascii="Arial" w:hAnsi="Arial"/>
                <w:b/>
                <w:color w:val="FFFFFF"/>
                <w:sz w:val="19"/>
              </w:rPr>
              <w:t>Empirical Observation / Baseline</w:t>
            </w:r>
          </w:p>
        </w:tc>
        <w:tc>
          <w:tcPr>
            <w:tcW w:type="dxa" w:w="2448"/>
            <w:shd w:fill="0F2942"/>
            <w:tcMar>
              <w:top w:w="90" w:type="dxa"/>
              <w:bottom w:w="90" w:type="dxa"/>
              <w:left w:w="110" w:type="dxa"/>
              <w:right w:w="110" w:type="dxa"/>
            </w:tcMar>
            <w:vAlign w:val="center"/>
          </w:tcPr>
          <w:p>
            <w:pPr>
              <w:spacing w:after="0"/>
              <w:jc w:val="center"/>
            </w:pPr>
            <w:r>
              <w:rPr>
                <w:rFonts w:ascii="Arial" w:hAnsi="Arial"/>
                <w:b/>
                <w:color w:val="FFFFFF"/>
                <w:sz w:val="19"/>
              </w:rPr>
              <w:t>Statistical Significance &amp; Interpretation</w:t>
            </w:r>
          </w:p>
        </w:tc>
      </w:tr>
      <w:tr>
        <w:tc>
          <w:tcPr>
            <w:tcW w:type="dxa" w:w="2160"/>
            <w:shd w:fill="FFFFFF"/>
            <w:tcMar>
              <w:top w:w="65" w:type="dxa"/>
              <w:bottom w:w="65" w:type="dxa"/>
              <w:left w:w="100" w:type="dxa"/>
              <w:right w:w="100" w:type="dxa"/>
            </w:tcMar>
            <w:vAlign w:val="center"/>
          </w:tcPr>
          <w:p>
            <w:pPr>
              <w:spacing w:after="0"/>
              <w:jc w:val="left"/>
            </w:pPr>
            <w:r>
              <w:rPr>
                <w:rFonts w:ascii="Calibri" w:hAnsi="Calibri"/>
                <w:color w:val="2C3E50"/>
                <w:sz w:val="19"/>
              </w:rPr>
              <w:t>Traffic Kinematics</w:t>
            </w:r>
          </w:p>
        </w:tc>
        <w:tc>
          <w:tcPr>
            <w:tcW w:type="dxa" w:w="2304"/>
            <w:shd w:fill="FFFFFF"/>
            <w:tcMar>
              <w:top w:w="65" w:type="dxa"/>
              <w:bottom w:w="65" w:type="dxa"/>
              <w:left w:w="100" w:type="dxa"/>
              <w:right w:w="100" w:type="dxa"/>
            </w:tcMar>
            <w:vAlign w:val="center"/>
          </w:tcPr>
          <w:p>
            <w:pPr>
              <w:spacing w:after="0"/>
              <w:jc w:val="left"/>
            </w:pPr>
            <w:r>
              <w:rPr>
                <w:rFonts w:ascii="Calibri" w:hAnsi="Calibri"/>
                <w:color w:val="2C3E50"/>
                <w:sz w:val="19"/>
              </w:rPr>
              <w:t>Rush Hour vs. Off-Peak Speed</w:t>
            </w:r>
          </w:p>
        </w:tc>
        <w:tc>
          <w:tcPr>
            <w:tcW w:type="dxa" w:w="2448"/>
            <w:shd w:fill="FFFFFF"/>
            <w:tcMar>
              <w:top w:w="65" w:type="dxa"/>
              <w:bottom w:w="65" w:type="dxa"/>
              <w:left w:w="100" w:type="dxa"/>
              <w:right w:w="100" w:type="dxa"/>
            </w:tcMar>
            <w:vAlign w:val="center"/>
          </w:tcPr>
          <w:p>
            <w:pPr>
              <w:spacing w:after="0"/>
              <w:jc w:val="right"/>
            </w:pPr>
            <w:r>
              <w:rPr>
                <w:rFonts w:ascii="Calibri" w:hAnsi="Calibri"/>
                <w:color w:val="2C3E50"/>
                <w:sz w:val="19"/>
              </w:rPr>
              <w:t>10.09 mph vs. 12.02 mph</w:t>
            </w:r>
          </w:p>
        </w:tc>
        <w:tc>
          <w:tcPr>
            <w:tcW w:type="dxa" w:w="2448"/>
            <w:shd w:fill="FFFFFF"/>
            <w:tcMar>
              <w:top w:w="65" w:type="dxa"/>
              <w:bottom w:w="65" w:type="dxa"/>
              <w:left w:w="100" w:type="dxa"/>
              <w:right w:w="100" w:type="dxa"/>
            </w:tcMar>
            <w:vAlign w:val="center"/>
          </w:tcPr>
          <w:p>
            <w:pPr>
              <w:spacing w:after="0"/>
              <w:jc w:val="right"/>
            </w:pPr>
            <w:r>
              <w:rPr>
                <w:rFonts w:ascii="Calibri" w:hAnsi="Calibri"/>
                <w:color w:val="2C3E50"/>
                <w:sz w:val="19"/>
              </w:rPr>
              <w:t>t = -13.46, p &lt; 1e-39 (Extreme peak congestion drag)</w:t>
            </w:r>
          </w:p>
        </w:tc>
      </w:tr>
      <w:tr>
        <w:tc>
          <w:tcPr>
            <w:tcW w:type="dxa" w:w="2160"/>
            <w:shd w:fill="F8FAFC"/>
            <w:tcMar>
              <w:top w:w="65" w:type="dxa"/>
              <w:bottom w:w="65" w:type="dxa"/>
              <w:left w:w="100" w:type="dxa"/>
              <w:right w:w="100" w:type="dxa"/>
            </w:tcMar>
            <w:vAlign w:val="center"/>
          </w:tcPr>
          <w:p>
            <w:pPr>
              <w:spacing w:after="0"/>
              <w:jc w:val="left"/>
            </w:pPr>
            <w:r>
              <w:rPr>
                <w:rFonts w:ascii="Calibri" w:hAnsi="Calibri"/>
                <w:color w:val="2C3E50"/>
                <w:sz w:val="19"/>
              </w:rPr>
              <w:t>Circadian Demand</w:t>
            </w:r>
          </w:p>
        </w:tc>
        <w:tc>
          <w:tcPr>
            <w:tcW w:type="dxa" w:w="2304"/>
            <w:shd w:fill="F8FAFC"/>
            <w:tcMar>
              <w:top w:w="65" w:type="dxa"/>
              <w:bottom w:w="65" w:type="dxa"/>
              <w:left w:w="100" w:type="dxa"/>
              <w:right w:w="100" w:type="dxa"/>
            </w:tcMar>
            <w:vAlign w:val="center"/>
          </w:tcPr>
          <w:p>
            <w:pPr>
              <w:spacing w:after="0"/>
              <w:jc w:val="left"/>
            </w:pPr>
            <w:r>
              <w:rPr>
                <w:rFonts w:ascii="Calibri" w:hAnsi="Calibri"/>
                <w:color w:val="2C3E50"/>
                <w:sz w:val="19"/>
              </w:rPr>
              <w:t>Peak Demand vs. Trough</w:t>
            </w:r>
          </w:p>
        </w:tc>
        <w:tc>
          <w:tcPr>
            <w:tcW w:type="dxa" w:w="2448"/>
            <w:shd w:fill="F8FAFC"/>
            <w:tcMar>
              <w:top w:w="65" w:type="dxa"/>
              <w:bottom w:w="65" w:type="dxa"/>
              <w:left w:w="100" w:type="dxa"/>
              <w:right w:w="100" w:type="dxa"/>
            </w:tcMar>
            <w:vAlign w:val="center"/>
          </w:tcPr>
          <w:p>
            <w:pPr>
              <w:spacing w:after="0"/>
              <w:jc w:val="right"/>
            </w:pPr>
            <w:r>
              <w:rPr>
                <w:rFonts w:ascii="Calibri" w:hAnsi="Calibri"/>
                <w:color w:val="2C3E50"/>
                <w:sz w:val="19"/>
              </w:rPr>
              <w:t>18:00 (Evening Rush) vs. 04:00 (Dawn)</w:t>
            </w:r>
          </w:p>
        </w:tc>
        <w:tc>
          <w:tcPr>
            <w:tcW w:type="dxa" w:w="2448"/>
            <w:shd w:fill="F8FAFC"/>
            <w:tcMar>
              <w:top w:w="65" w:type="dxa"/>
              <w:bottom w:w="65" w:type="dxa"/>
              <w:left w:w="100" w:type="dxa"/>
              <w:right w:w="100" w:type="dxa"/>
            </w:tcMar>
            <w:vAlign w:val="center"/>
          </w:tcPr>
          <w:p>
            <w:pPr>
              <w:spacing w:after="0"/>
              <w:jc w:val="right"/>
            </w:pPr>
            <w:r>
              <w:rPr>
                <w:rFonts w:ascii="Calibri" w:hAnsi="Calibri"/>
                <w:color w:val="2C3E50"/>
                <w:sz w:val="19"/>
              </w:rPr>
              <w:t>Demand expands 7.8x from dawn low to evening peak</w:t>
            </w:r>
          </w:p>
        </w:tc>
      </w:tr>
      <w:tr>
        <w:tc>
          <w:tcPr>
            <w:tcW w:type="dxa" w:w="2160"/>
            <w:shd w:fill="FFFFFF"/>
            <w:tcMar>
              <w:top w:w="65" w:type="dxa"/>
              <w:bottom w:w="65" w:type="dxa"/>
              <w:left w:w="100" w:type="dxa"/>
              <w:right w:w="100" w:type="dxa"/>
            </w:tcMar>
            <w:vAlign w:val="center"/>
          </w:tcPr>
          <w:p>
            <w:pPr>
              <w:spacing w:after="0"/>
              <w:jc w:val="left"/>
            </w:pPr>
            <w:r>
              <w:rPr>
                <w:rFonts w:ascii="Calibri" w:hAnsi="Calibri"/>
                <w:color w:val="2C3E50"/>
                <w:sz w:val="19"/>
              </w:rPr>
              <w:t>Spatial Dynamics</w:t>
            </w:r>
          </w:p>
        </w:tc>
        <w:tc>
          <w:tcPr>
            <w:tcW w:type="dxa" w:w="2304"/>
            <w:shd w:fill="FFFFFF"/>
            <w:tcMar>
              <w:top w:w="65" w:type="dxa"/>
              <w:bottom w:w="65" w:type="dxa"/>
              <w:left w:w="100" w:type="dxa"/>
              <w:right w:w="100" w:type="dxa"/>
            </w:tcMar>
            <w:vAlign w:val="center"/>
          </w:tcPr>
          <w:p>
            <w:pPr>
              <w:spacing w:after="0"/>
              <w:jc w:val="left"/>
            </w:pPr>
            <w:r>
              <w:rPr>
                <w:rFonts w:ascii="Calibri" w:hAnsi="Calibri"/>
                <w:color w:val="2C3E50"/>
                <w:sz w:val="19"/>
              </w:rPr>
              <w:t>Intra-Manhattan Flow Retention</w:t>
            </w:r>
          </w:p>
        </w:tc>
        <w:tc>
          <w:tcPr>
            <w:tcW w:type="dxa" w:w="2448"/>
            <w:shd w:fill="FFFFFF"/>
            <w:tcMar>
              <w:top w:w="65" w:type="dxa"/>
              <w:bottom w:w="65" w:type="dxa"/>
              <w:left w:w="100" w:type="dxa"/>
              <w:right w:w="100" w:type="dxa"/>
            </w:tcMar>
            <w:vAlign w:val="center"/>
          </w:tcPr>
          <w:p>
            <w:pPr>
              <w:spacing w:after="0"/>
              <w:jc w:val="right"/>
            </w:pPr>
            <w:r>
              <w:rPr>
                <w:rFonts w:ascii="Calibri" w:hAnsi="Calibri"/>
                <w:color w:val="2C3E50"/>
                <w:sz w:val="19"/>
              </w:rPr>
              <w:t>88.4% of Manhattan trips remain inside</w:t>
            </w:r>
          </w:p>
        </w:tc>
        <w:tc>
          <w:tcPr>
            <w:tcW w:type="dxa" w:w="2448"/>
            <w:shd w:fill="FFFFFF"/>
            <w:tcMar>
              <w:top w:w="65" w:type="dxa"/>
              <w:bottom w:w="65" w:type="dxa"/>
              <w:left w:w="100" w:type="dxa"/>
              <w:right w:w="100" w:type="dxa"/>
            </w:tcMar>
            <w:vAlign w:val="center"/>
          </w:tcPr>
          <w:p>
            <w:pPr>
              <w:spacing w:after="0"/>
              <w:jc w:val="left"/>
            </w:pPr>
            <w:r>
              <w:rPr>
                <w:rFonts w:ascii="Calibri" w:hAnsi="Calibri"/>
                <w:color w:val="2C3E50"/>
                <w:sz w:val="19"/>
              </w:rPr>
              <w:t>Hyper-dense intra-borough transit circuit</w:t>
            </w:r>
          </w:p>
        </w:tc>
      </w:tr>
      <w:tr>
        <w:tc>
          <w:tcPr>
            <w:tcW w:type="dxa" w:w="2160"/>
            <w:shd w:fill="F8FAFC"/>
            <w:tcMar>
              <w:top w:w="65" w:type="dxa"/>
              <w:bottom w:w="65" w:type="dxa"/>
              <w:left w:w="100" w:type="dxa"/>
              <w:right w:w="100" w:type="dxa"/>
            </w:tcMar>
            <w:vAlign w:val="center"/>
          </w:tcPr>
          <w:p>
            <w:pPr>
              <w:spacing w:after="0"/>
              <w:jc w:val="left"/>
            </w:pPr>
            <w:r>
              <w:rPr>
                <w:rFonts w:ascii="Calibri" w:hAnsi="Calibri"/>
                <w:color w:val="2C3E50"/>
                <w:sz w:val="19"/>
              </w:rPr>
              <w:t>Consumer Gratuity</w:t>
            </w:r>
          </w:p>
        </w:tc>
        <w:tc>
          <w:tcPr>
            <w:tcW w:type="dxa" w:w="2304"/>
            <w:shd w:fill="F8FAFC"/>
            <w:tcMar>
              <w:top w:w="65" w:type="dxa"/>
              <w:bottom w:w="65" w:type="dxa"/>
              <w:left w:w="100" w:type="dxa"/>
              <w:right w:w="100" w:type="dxa"/>
            </w:tcMar>
            <w:vAlign w:val="center"/>
          </w:tcPr>
          <w:p>
            <w:pPr>
              <w:spacing w:after="0"/>
              <w:jc w:val="left"/>
            </w:pPr>
            <w:r>
              <w:rPr>
                <w:rFonts w:ascii="Calibri" w:hAnsi="Calibri"/>
                <w:color w:val="2C3E50"/>
                <w:sz w:val="19"/>
              </w:rPr>
              <w:t>Credit Card Tip Percentage</w:t>
            </w:r>
          </w:p>
        </w:tc>
        <w:tc>
          <w:tcPr>
            <w:tcW w:type="dxa" w:w="2448"/>
            <w:shd w:fill="F8FAFC"/>
            <w:tcMar>
              <w:top w:w="65" w:type="dxa"/>
              <w:bottom w:w="65" w:type="dxa"/>
              <w:left w:w="100" w:type="dxa"/>
              <w:right w:w="100" w:type="dxa"/>
            </w:tcMar>
            <w:vAlign w:val="center"/>
          </w:tcPr>
          <w:p>
            <w:pPr>
              <w:spacing w:after="0"/>
              <w:jc w:val="right"/>
            </w:pPr>
            <w:r>
              <w:rPr>
                <w:rFonts w:ascii="Calibri" w:hAnsi="Calibri"/>
                <w:color w:val="2C3E50"/>
                <w:sz w:val="19"/>
              </w:rPr>
              <w:t>Mean: 23.8% | Median: 25.5%</w:t>
            </w:r>
          </w:p>
        </w:tc>
        <w:tc>
          <w:tcPr>
            <w:tcW w:type="dxa" w:w="2448"/>
            <w:shd w:fill="F8FAFC"/>
            <w:tcMar>
              <w:top w:w="65" w:type="dxa"/>
              <w:bottom w:w="65" w:type="dxa"/>
              <w:left w:w="100" w:type="dxa"/>
              <w:right w:w="100" w:type="dxa"/>
            </w:tcMar>
            <w:vAlign w:val="center"/>
          </w:tcPr>
          <w:p>
            <w:pPr>
              <w:spacing w:after="0"/>
              <w:jc w:val="right"/>
            </w:pPr>
            <w:r>
              <w:rPr>
                <w:rFonts w:ascii="Calibri" w:hAnsi="Calibri"/>
                <w:color w:val="2C3E50"/>
                <w:sz w:val="19"/>
              </w:rPr>
              <w:t>H = 15.50, p = 0.0084 (Party size significantly alters tips)</w:t>
            </w:r>
          </w:p>
        </w:tc>
      </w:tr>
      <w:tr>
        <w:tc>
          <w:tcPr>
            <w:tcW w:type="dxa" w:w="2160"/>
            <w:shd w:fill="FFFFFF"/>
            <w:tcMar>
              <w:top w:w="65" w:type="dxa"/>
              <w:bottom w:w="65" w:type="dxa"/>
              <w:left w:w="100" w:type="dxa"/>
              <w:right w:w="100" w:type="dxa"/>
            </w:tcMar>
            <w:vAlign w:val="center"/>
          </w:tcPr>
          <w:p>
            <w:pPr>
              <w:spacing w:after="0"/>
              <w:jc w:val="left"/>
            </w:pPr>
            <w:r>
              <w:rPr>
                <w:rFonts w:ascii="Calibri" w:hAnsi="Calibri"/>
                <w:color w:val="2C3E50"/>
                <w:sz w:val="19"/>
              </w:rPr>
              <w:t>Fleet Disparity</w:t>
            </w:r>
          </w:p>
        </w:tc>
        <w:tc>
          <w:tcPr>
            <w:tcW w:type="dxa" w:w="2304"/>
            <w:shd w:fill="FFFFFF"/>
            <w:tcMar>
              <w:top w:w="65" w:type="dxa"/>
              <w:bottom w:w="65" w:type="dxa"/>
              <w:left w:w="100" w:type="dxa"/>
              <w:right w:w="100" w:type="dxa"/>
            </w:tcMar>
            <w:vAlign w:val="center"/>
          </w:tcPr>
          <w:p>
            <w:pPr>
              <w:spacing w:after="0"/>
              <w:jc w:val="left"/>
            </w:pPr>
            <w:r>
              <w:rPr>
                <w:rFonts w:ascii="Calibri" w:hAnsi="Calibri"/>
                <w:color w:val="2C3E50"/>
                <w:sz w:val="19"/>
              </w:rPr>
              <w:t>Yellow vs. Green Fare per Mile</w:t>
            </w:r>
          </w:p>
        </w:tc>
        <w:tc>
          <w:tcPr>
            <w:tcW w:type="dxa" w:w="2448"/>
            <w:shd w:fill="FFFFFF"/>
            <w:tcMar>
              <w:top w:w="65" w:type="dxa"/>
              <w:bottom w:w="65" w:type="dxa"/>
              <w:left w:w="100" w:type="dxa"/>
              <w:right w:w="100" w:type="dxa"/>
            </w:tcMar>
            <w:vAlign w:val="center"/>
          </w:tcPr>
          <w:p>
            <w:pPr>
              <w:spacing w:after="0"/>
              <w:jc w:val="right"/>
            </w:pPr>
            <w:r>
              <w:rPr>
                <w:rFonts w:ascii="Calibri" w:hAnsi="Calibri"/>
                <w:color w:val="2C3E50"/>
                <w:sz w:val="19"/>
              </w:rPr>
              <w:t>$5.94/mi vs. $5.64/mi</w:t>
            </w:r>
          </w:p>
        </w:tc>
        <w:tc>
          <w:tcPr>
            <w:tcW w:type="dxa" w:w="2448"/>
            <w:shd w:fill="FFFFFF"/>
            <w:tcMar>
              <w:top w:w="65" w:type="dxa"/>
              <w:bottom w:w="65" w:type="dxa"/>
              <w:left w:w="100" w:type="dxa"/>
              <w:right w:w="100" w:type="dxa"/>
            </w:tcMar>
            <w:vAlign w:val="center"/>
          </w:tcPr>
          <w:p>
            <w:pPr>
              <w:spacing w:after="0"/>
              <w:jc w:val="right"/>
            </w:pPr>
            <w:r>
              <w:rPr>
                <w:rFonts w:ascii="Calibri" w:hAnsi="Calibri"/>
                <w:color w:val="2C3E50"/>
                <w:sz w:val="19"/>
              </w:rPr>
              <w:t>Mann-Whitney U, p &lt; 1e-12 (Significant revenue density difference)</w:t>
            </w:r>
          </w:p>
        </w:tc>
      </w:tr>
      <w:tr>
        <w:tc>
          <w:tcPr>
            <w:tcW w:type="dxa" w:w="2160"/>
            <w:shd w:fill="F8FAFC"/>
            <w:tcMar>
              <w:top w:w="65" w:type="dxa"/>
              <w:bottom w:w="65" w:type="dxa"/>
              <w:left w:w="100" w:type="dxa"/>
              <w:right w:w="100" w:type="dxa"/>
            </w:tcMar>
            <w:vAlign w:val="center"/>
          </w:tcPr>
          <w:p>
            <w:pPr>
              <w:spacing w:after="0"/>
              <w:jc w:val="left"/>
            </w:pPr>
            <w:r>
              <w:rPr>
                <w:rFonts w:ascii="Calibri" w:hAnsi="Calibri"/>
                <w:color w:val="2C3E50"/>
                <w:sz w:val="19"/>
              </w:rPr>
              <w:t>Airport Transit</w:t>
            </w:r>
          </w:p>
        </w:tc>
        <w:tc>
          <w:tcPr>
            <w:tcW w:type="dxa" w:w="2304"/>
            <w:shd w:fill="F8FAFC"/>
            <w:tcMar>
              <w:top w:w="65" w:type="dxa"/>
              <w:bottom w:w="65" w:type="dxa"/>
              <w:left w:w="100" w:type="dxa"/>
              <w:right w:w="100" w:type="dxa"/>
            </w:tcMar>
            <w:vAlign w:val="center"/>
          </w:tcPr>
          <w:p>
            <w:pPr>
              <w:spacing w:after="0"/>
              <w:jc w:val="left"/>
            </w:pPr>
            <w:r>
              <w:rPr>
                <w:rFonts w:ascii="Calibri" w:hAnsi="Calibri"/>
                <w:color w:val="2C3E50"/>
                <w:sz w:val="19"/>
              </w:rPr>
              <w:t>Airport vs. Standard Total Fare</w:t>
            </w:r>
          </w:p>
        </w:tc>
        <w:tc>
          <w:tcPr>
            <w:tcW w:type="dxa" w:w="2448"/>
            <w:shd w:fill="F8FAFC"/>
            <w:tcMar>
              <w:top w:w="65" w:type="dxa"/>
              <w:bottom w:w="65" w:type="dxa"/>
              <w:left w:w="100" w:type="dxa"/>
              <w:right w:w="100" w:type="dxa"/>
            </w:tcMar>
            <w:vAlign w:val="center"/>
          </w:tcPr>
          <w:p>
            <w:pPr>
              <w:spacing w:after="0"/>
              <w:jc w:val="right"/>
            </w:pPr>
            <w:r>
              <w:rPr>
                <w:rFonts w:ascii="Calibri" w:hAnsi="Calibri"/>
                <w:color w:val="2C3E50"/>
                <w:sz w:val="19"/>
              </w:rPr>
              <w:t>$37.35 vs. $11.27</w:t>
            </w:r>
          </w:p>
        </w:tc>
        <w:tc>
          <w:tcPr>
            <w:tcW w:type="dxa" w:w="2448"/>
            <w:shd w:fill="F8FAFC"/>
            <w:tcMar>
              <w:top w:w="65" w:type="dxa"/>
              <w:bottom w:w="65" w:type="dxa"/>
              <w:left w:w="100" w:type="dxa"/>
              <w:right w:w="100" w:type="dxa"/>
            </w:tcMar>
            <w:vAlign w:val="center"/>
          </w:tcPr>
          <w:p>
            <w:pPr>
              <w:spacing w:after="0"/>
              <w:jc w:val="right"/>
            </w:pPr>
            <w:r>
              <w:rPr>
                <w:rFonts w:ascii="Calibri" w:hAnsi="Calibri"/>
                <w:color w:val="2C3E50"/>
                <w:sz w:val="19"/>
              </w:rPr>
              <w:t>Tolls expand from $0.11 to $3.58; 3.3x total fare expansion</w:t>
            </w:r>
          </w:p>
        </w:tc>
      </w:tr>
      <w:tr>
        <w:tc>
          <w:tcPr>
            <w:tcW w:type="dxa" w:w="2160"/>
            <w:shd w:fill="FFFFFF"/>
            <w:tcMar>
              <w:top w:w="65" w:type="dxa"/>
              <w:bottom w:w="65" w:type="dxa"/>
              <w:left w:w="100" w:type="dxa"/>
              <w:right w:w="100" w:type="dxa"/>
            </w:tcMar>
            <w:vAlign w:val="center"/>
          </w:tcPr>
          <w:p>
            <w:pPr>
              <w:spacing w:after="0"/>
              <w:jc w:val="left"/>
            </w:pPr>
            <w:r>
              <w:rPr>
                <w:rFonts w:ascii="Calibri" w:hAnsi="Calibri"/>
                <w:color w:val="2C3E50"/>
                <w:sz w:val="19"/>
              </w:rPr>
              <w:t>Party Size</w:t>
            </w:r>
          </w:p>
        </w:tc>
        <w:tc>
          <w:tcPr>
            <w:tcW w:type="dxa" w:w="2304"/>
            <w:shd w:fill="FFFFFF"/>
            <w:tcMar>
              <w:top w:w="65" w:type="dxa"/>
              <w:bottom w:w="65" w:type="dxa"/>
              <w:left w:w="100" w:type="dxa"/>
              <w:right w:w="100" w:type="dxa"/>
            </w:tcMar>
            <w:vAlign w:val="center"/>
          </w:tcPr>
          <w:p>
            <w:pPr>
              <w:spacing w:after="0"/>
              <w:jc w:val="left"/>
            </w:pPr>
            <w:r>
              <w:rPr>
                <w:rFonts w:ascii="Calibri" w:hAnsi="Calibri"/>
                <w:color w:val="2C3E50"/>
                <w:sz w:val="19"/>
              </w:rPr>
              <w:t>Solo Commuter Proportion</w:t>
            </w:r>
          </w:p>
        </w:tc>
        <w:tc>
          <w:tcPr>
            <w:tcW w:type="dxa" w:w="2448"/>
            <w:shd w:fill="FFFFFF"/>
            <w:tcMar>
              <w:top w:w="65" w:type="dxa"/>
              <w:bottom w:w="65" w:type="dxa"/>
              <w:left w:w="100" w:type="dxa"/>
              <w:right w:w="100" w:type="dxa"/>
            </w:tcMar>
            <w:vAlign w:val="center"/>
          </w:tcPr>
          <w:p>
            <w:pPr>
              <w:spacing w:after="0"/>
              <w:jc w:val="right"/>
            </w:pPr>
            <w:r>
              <w:rPr>
                <w:rFonts w:ascii="Calibri" w:hAnsi="Calibri"/>
                <w:color w:val="2C3E50"/>
                <w:sz w:val="19"/>
              </w:rPr>
              <w:t>74.1% solo passengers</w:t>
            </w:r>
          </w:p>
        </w:tc>
        <w:tc>
          <w:tcPr>
            <w:tcW w:type="dxa" w:w="2448"/>
            <w:shd w:fill="FFFFFF"/>
            <w:tcMar>
              <w:top w:w="65" w:type="dxa"/>
              <w:bottom w:w="65" w:type="dxa"/>
              <w:left w:w="100" w:type="dxa"/>
              <w:right w:w="100" w:type="dxa"/>
            </w:tcMar>
            <w:vAlign w:val="center"/>
          </w:tcPr>
          <w:p>
            <w:pPr>
              <w:spacing w:after="0"/>
              <w:jc w:val="left"/>
            </w:pPr>
            <w:r>
              <w:rPr>
                <w:rFonts w:ascii="Calibri" w:hAnsi="Calibri"/>
                <w:color w:val="2C3E50"/>
                <w:sz w:val="19"/>
              </w:rPr>
              <w:t>Urban transit is dominated by individual business commuters</w:t>
            </w:r>
          </w:p>
        </w:tc>
      </w:tr>
    </w:tbl>
    <w:p>
      <w:pPr>
        <w:spacing w:after="120"/>
      </w:pPr>
    </w:p>
    <w:p>
      <w:pPr>
        <w:keepNext/>
        <w:spacing w:before="440" w:after="160"/>
      </w:pPr>
      <w:r>
        <w:rPr>
          <w:rFonts w:ascii="Arial" w:hAnsi="Arial"/>
          <w:b/>
          <w:color w:val="0F2942"/>
          <w:sz w:val="33"/>
        </w:rPr>
        <w:t>1. Dataset Architecture, Variable Catalog &amp; Aggregation Methodology</w:t>
      </w:r>
    </w:p>
    <w:p>
      <w:pPr>
        <w:spacing w:after="120" w:line="276" w:lineRule="auto"/>
      </w:pPr>
      <w:r>
        <w:rPr>
          <w:rFonts w:ascii="Calibri" w:hAnsi="Calibri"/>
          <w:color w:val="2C3E50"/>
          <w:sz w:val="22"/>
        </w:rPr>
        <w:t>The dataset under investigation comprises 6,360 clean observations derived from March 2019 New York City TLC trip telemetry. Following rigorous data cleaning, missing value imputation, and kinematic verification, each record contains 35 synchronized attributes capturing temporal, geographic, operational, and financial dimensions.</w:t>
      </w:r>
    </w:p>
    <w:p>
      <w:pPr>
        <w:keepNext/>
        <w:spacing w:before="280" w:after="100"/>
      </w:pPr>
      <w:r>
        <w:rPr>
          <w:rFonts w:ascii="Arial" w:hAnsi="Arial"/>
          <w:b/>
          <w:color w:val="1F5F8B"/>
          <w:sz w:val="26"/>
        </w:rPr>
        <w:t>1.1 Feature Classification &amp; Analytical Catalog</w:t>
      </w:r>
    </w:p>
    <w:p>
      <w:pPr>
        <w:spacing w:after="120" w:line="276" w:lineRule="auto"/>
      </w:pPr>
      <w:r>
        <w:rPr>
          <w:rFonts w:ascii="Calibri" w:hAnsi="Calibri"/>
          <w:color w:val="2C3E50"/>
          <w:sz w:val="22"/>
        </w:rPr>
        <w:t>To facilitate multi-level exploratory data analysis, variables were structured into four functional catalogs (Table 1):</w:t>
      </w:r>
    </w:p>
    <w:tbl>
      <w:tblPr>
        <w:tblW w:type="auto" w:w="0"/>
        <w:jc w:val="center"/>
        <w:tblLook w:firstColumn="1" w:firstRow="1" w:lastColumn="0" w:lastRow="0" w:noHBand="0" w:noVBand="1" w:val="04A0"/>
        <w:tblBorders>
          <w:top w:val="single" w:sz="6" w:space="0" w:color="0F2942"/>
          <w:bottom w:val="single" w:sz="8" w:space="0" w:color="0F2942"/>
          <w:left w:val="none"/>
          <w:right w:val="none"/>
          <w:insideH w:val="single" w:sz="4" w:space="0" w:color="CBD5E1"/>
          <w:insideV w:val="none"/>
        </w:tblBorders>
      </w:tblPr>
      <w:tblGrid>
        <w:gridCol w:w="2340"/>
        <w:gridCol w:w="2340"/>
        <w:gridCol w:w="2340"/>
        <w:gridCol w:w="2340"/>
      </w:tblGrid>
      <w:tr>
        <w:tc>
          <w:tcPr>
            <w:tcW w:type="dxa" w:w="2016"/>
            <w:shd w:fill="0F2942"/>
            <w:tcMar>
              <w:top w:w="90" w:type="dxa"/>
              <w:bottom w:w="90" w:type="dxa"/>
              <w:left w:w="110" w:type="dxa"/>
              <w:right w:w="110" w:type="dxa"/>
            </w:tcMar>
            <w:vAlign w:val="center"/>
          </w:tcPr>
          <w:p>
            <w:pPr>
              <w:spacing w:after="0"/>
              <w:jc w:val="center"/>
            </w:pPr>
            <w:r>
              <w:rPr>
                <w:rFonts w:ascii="Arial" w:hAnsi="Arial"/>
                <w:b/>
                <w:color w:val="FFFFFF"/>
                <w:sz w:val="19"/>
              </w:rPr>
              <w:t>Catalog Group</w:t>
            </w:r>
          </w:p>
        </w:tc>
        <w:tc>
          <w:tcPr>
            <w:tcW w:type="dxa" w:w="2592"/>
            <w:shd w:fill="0F2942"/>
            <w:tcMar>
              <w:top w:w="90" w:type="dxa"/>
              <w:bottom w:w="90" w:type="dxa"/>
              <w:left w:w="110" w:type="dxa"/>
              <w:right w:w="110" w:type="dxa"/>
            </w:tcMar>
            <w:vAlign w:val="center"/>
          </w:tcPr>
          <w:p>
            <w:pPr>
              <w:spacing w:after="0"/>
              <w:jc w:val="center"/>
            </w:pPr>
            <w:r>
              <w:rPr>
                <w:rFonts w:ascii="Arial" w:hAnsi="Arial"/>
                <w:b/>
                <w:color w:val="FFFFFF"/>
                <w:sz w:val="19"/>
              </w:rPr>
              <w:t>Attribute Names</w:t>
            </w:r>
          </w:p>
        </w:tc>
        <w:tc>
          <w:tcPr>
            <w:tcW w:type="dxa" w:w="2016"/>
            <w:shd w:fill="0F2942"/>
            <w:tcMar>
              <w:top w:w="90" w:type="dxa"/>
              <w:bottom w:w="90" w:type="dxa"/>
              <w:left w:w="110" w:type="dxa"/>
              <w:right w:w="110" w:type="dxa"/>
            </w:tcMar>
            <w:vAlign w:val="center"/>
          </w:tcPr>
          <w:p>
            <w:pPr>
              <w:spacing w:after="0"/>
              <w:jc w:val="center"/>
            </w:pPr>
            <w:r>
              <w:rPr>
                <w:rFonts w:ascii="Arial" w:hAnsi="Arial"/>
                <w:b/>
                <w:color w:val="FFFFFF"/>
                <w:sz w:val="19"/>
              </w:rPr>
              <w:t>Data Types</w:t>
            </w:r>
          </w:p>
        </w:tc>
        <w:tc>
          <w:tcPr>
            <w:tcW w:type="dxa" w:w="2736"/>
            <w:shd w:fill="0F2942"/>
            <w:tcMar>
              <w:top w:w="90" w:type="dxa"/>
              <w:bottom w:w="90" w:type="dxa"/>
              <w:left w:w="110" w:type="dxa"/>
              <w:right w:w="110" w:type="dxa"/>
            </w:tcMar>
            <w:vAlign w:val="center"/>
          </w:tcPr>
          <w:p>
            <w:pPr>
              <w:spacing w:after="0"/>
              <w:jc w:val="center"/>
            </w:pPr>
            <w:r>
              <w:rPr>
                <w:rFonts w:ascii="Arial" w:hAnsi="Arial"/>
                <w:b/>
                <w:color w:val="FFFFFF"/>
                <w:sz w:val="19"/>
              </w:rPr>
              <w:t>Analytical Function in EDA</w:t>
            </w:r>
          </w:p>
        </w:tc>
      </w:tr>
      <w:tr>
        <w:tc>
          <w:tcPr>
            <w:tcW w:type="dxa" w:w="2016"/>
            <w:shd w:fill="FFFFFF"/>
            <w:tcMar>
              <w:top w:w="65" w:type="dxa"/>
              <w:bottom w:w="65" w:type="dxa"/>
              <w:left w:w="100" w:type="dxa"/>
              <w:right w:w="100" w:type="dxa"/>
            </w:tcMar>
            <w:vAlign w:val="center"/>
          </w:tcPr>
          <w:p>
            <w:pPr>
              <w:spacing w:after="0"/>
              <w:jc w:val="left"/>
            </w:pPr>
            <w:r>
              <w:rPr>
                <w:rFonts w:ascii="Calibri" w:hAnsi="Calibri"/>
                <w:color w:val="2C3E50"/>
                <w:sz w:val="19"/>
              </w:rPr>
              <w:t>Temporal Dimensions</w:t>
            </w:r>
          </w:p>
        </w:tc>
        <w:tc>
          <w:tcPr>
            <w:tcW w:type="dxa" w:w="2592"/>
            <w:shd w:fill="FFFFFF"/>
            <w:tcMar>
              <w:top w:w="65" w:type="dxa"/>
              <w:bottom w:w="65" w:type="dxa"/>
              <w:left w:w="100" w:type="dxa"/>
              <w:right w:w="100" w:type="dxa"/>
            </w:tcMar>
            <w:vAlign w:val="center"/>
          </w:tcPr>
          <w:p>
            <w:pPr>
              <w:spacing w:after="0"/>
              <w:jc w:val="left"/>
            </w:pPr>
            <w:r>
              <w:rPr>
                <w:rFonts w:ascii="Calibri" w:hAnsi="Calibri"/>
                <w:color w:val="2C3E50"/>
                <w:sz w:val="19"/>
              </w:rPr>
              <w:t>pickup, dropoff, duration_capped, pickup_hour, pickup_day_name, is_weekend, is_rush_hour, time_period</w:t>
            </w:r>
          </w:p>
        </w:tc>
        <w:tc>
          <w:tcPr>
            <w:tcW w:type="dxa" w:w="2016"/>
            <w:shd w:fill="FFFFFF"/>
            <w:tcMar>
              <w:top w:w="65" w:type="dxa"/>
              <w:bottom w:w="65" w:type="dxa"/>
              <w:left w:w="100" w:type="dxa"/>
              <w:right w:w="100" w:type="dxa"/>
            </w:tcMar>
            <w:vAlign w:val="center"/>
          </w:tcPr>
          <w:p>
            <w:pPr>
              <w:spacing w:after="0"/>
              <w:jc w:val="right"/>
            </w:pPr>
            <w:r>
              <w:rPr>
                <w:rFonts w:ascii="Calibri" w:hAnsi="Calibri"/>
                <w:color w:val="2C3E50"/>
                <w:sz w:val="19"/>
              </w:rPr>
              <w:t>datetime64, float64, categorical, binary</w:t>
            </w:r>
          </w:p>
        </w:tc>
        <w:tc>
          <w:tcPr>
            <w:tcW w:type="dxa" w:w="2736"/>
            <w:shd w:fill="FFFFFF"/>
            <w:tcMar>
              <w:top w:w="65" w:type="dxa"/>
              <w:bottom w:w="65" w:type="dxa"/>
              <w:left w:w="100" w:type="dxa"/>
              <w:right w:w="100" w:type="dxa"/>
            </w:tcMar>
            <w:vAlign w:val="center"/>
          </w:tcPr>
          <w:p>
            <w:pPr>
              <w:spacing w:after="0"/>
              <w:jc w:val="left"/>
            </w:pPr>
            <w:r>
              <w:rPr>
                <w:rFonts w:ascii="Calibri" w:hAnsi="Calibri"/>
                <w:color w:val="2C3E50"/>
                <w:sz w:val="19"/>
              </w:rPr>
              <w:t>Evaluating circadian rhythms, day-of-week seasonality, and congestion periods</w:t>
            </w:r>
          </w:p>
        </w:tc>
      </w:tr>
      <w:tr>
        <w:tc>
          <w:tcPr>
            <w:tcW w:type="dxa" w:w="2016"/>
            <w:shd w:fill="F8FAFC"/>
            <w:tcMar>
              <w:top w:w="65" w:type="dxa"/>
              <w:bottom w:w="65" w:type="dxa"/>
              <w:left w:w="100" w:type="dxa"/>
              <w:right w:w="100" w:type="dxa"/>
            </w:tcMar>
            <w:vAlign w:val="center"/>
          </w:tcPr>
          <w:p>
            <w:pPr>
              <w:spacing w:after="0"/>
              <w:jc w:val="left"/>
            </w:pPr>
            <w:r>
              <w:rPr>
                <w:rFonts w:ascii="Calibri" w:hAnsi="Calibri"/>
                <w:color w:val="2C3E50"/>
                <w:sz w:val="19"/>
              </w:rPr>
              <w:t>Kinematic &amp; Physical</w:t>
            </w:r>
          </w:p>
        </w:tc>
        <w:tc>
          <w:tcPr>
            <w:tcW w:type="dxa" w:w="2592"/>
            <w:shd w:fill="F8FAFC"/>
            <w:tcMar>
              <w:top w:w="65" w:type="dxa"/>
              <w:bottom w:w="65" w:type="dxa"/>
              <w:left w:w="100" w:type="dxa"/>
              <w:right w:w="100" w:type="dxa"/>
            </w:tcMar>
            <w:vAlign w:val="center"/>
          </w:tcPr>
          <w:p>
            <w:pPr>
              <w:spacing w:after="0"/>
              <w:jc w:val="left"/>
            </w:pPr>
            <w:r>
              <w:rPr>
                <w:rFonts w:ascii="Calibri" w:hAnsi="Calibri"/>
                <w:color w:val="2C3E50"/>
                <w:sz w:val="19"/>
              </w:rPr>
              <w:t>distance_capped, duration_capped, speed_mph, passengers</w:t>
            </w:r>
          </w:p>
        </w:tc>
        <w:tc>
          <w:tcPr>
            <w:tcW w:type="dxa" w:w="2016"/>
            <w:shd w:fill="F8FAFC"/>
            <w:tcMar>
              <w:top w:w="65" w:type="dxa"/>
              <w:bottom w:w="65" w:type="dxa"/>
              <w:left w:w="100" w:type="dxa"/>
              <w:right w:w="100" w:type="dxa"/>
            </w:tcMar>
            <w:vAlign w:val="center"/>
          </w:tcPr>
          <w:p>
            <w:pPr>
              <w:spacing w:after="0"/>
              <w:jc w:val="right"/>
            </w:pPr>
            <w:r>
              <w:rPr>
                <w:rFonts w:ascii="Calibri" w:hAnsi="Calibri"/>
                <w:color w:val="2C3E50"/>
                <w:sz w:val="19"/>
              </w:rPr>
              <w:t>float64, int64</w:t>
            </w:r>
          </w:p>
        </w:tc>
        <w:tc>
          <w:tcPr>
            <w:tcW w:type="dxa" w:w="2736"/>
            <w:shd w:fill="F8FAFC"/>
            <w:tcMar>
              <w:top w:w="65" w:type="dxa"/>
              <w:bottom w:w="65" w:type="dxa"/>
              <w:left w:w="100" w:type="dxa"/>
              <w:right w:w="100" w:type="dxa"/>
            </w:tcMar>
            <w:vAlign w:val="center"/>
          </w:tcPr>
          <w:p>
            <w:pPr>
              <w:spacing w:after="0"/>
              <w:jc w:val="left"/>
            </w:pPr>
            <w:r>
              <w:rPr>
                <w:rFonts w:ascii="Calibri" w:hAnsi="Calibri"/>
                <w:color w:val="2C3E50"/>
                <w:sz w:val="19"/>
              </w:rPr>
              <w:t>Analyzing velocity decay, trip length distributions, and vehicle occupancy</w:t>
            </w:r>
          </w:p>
        </w:tc>
      </w:tr>
      <w:tr>
        <w:tc>
          <w:tcPr>
            <w:tcW w:type="dxa" w:w="2016"/>
            <w:shd w:fill="FFFFFF"/>
            <w:tcMar>
              <w:top w:w="65" w:type="dxa"/>
              <w:bottom w:w="65" w:type="dxa"/>
              <w:left w:w="100" w:type="dxa"/>
              <w:right w:w="100" w:type="dxa"/>
            </w:tcMar>
            <w:vAlign w:val="center"/>
          </w:tcPr>
          <w:p>
            <w:pPr>
              <w:spacing w:after="0"/>
              <w:jc w:val="left"/>
            </w:pPr>
            <w:r>
              <w:rPr>
                <w:rFonts w:ascii="Calibri" w:hAnsi="Calibri"/>
                <w:color w:val="2C3E50"/>
                <w:sz w:val="19"/>
              </w:rPr>
              <w:t>Geographic &amp; Spatial</w:t>
            </w:r>
          </w:p>
        </w:tc>
        <w:tc>
          <w:tcPr>
            <w:tcW w:type="dxa" w:w="2592"/>
            <w:shd w:fill="FFFFFF"/>
            <w:tcMar>
              <w:top w:w="65" w:type="dxa"/>
              <w:bottom w:w="65" w:type="dxa"/>
              <w:left w:w="100" w:type="dxa"/>
              <w:right w:w="100" w:type="dxa"/>
            </w:tcMar>
            <w:vAlign w:val="center"/>
          </w:tcPr>
          <w:p>
            <w:pPr>
              <w:spacing w:after="0"/>
              <w:jc w:val="left"/>
            </w:pPr>
            <w:r>
              <w:rPr>
                <w:rFonts w:ascii="Calibri" w:hAnsi="Calibri"/>
                <w:color w:val="2C3E50"/>
                <w:sz w:val="19"/>
              </w:rPr>
              <w:t>pickup_zone, dropoff_zone, pickup_borough, dropoff_borough, is_cross_borough, is_airport_trip</w:t>
            </w:r>
          </w:p>
        </w:tc>
        <w:tc>
          <w:tcPr>
            <w:tcW w:type="dxa" w:w="2016"/>
            <w:shd w:fill="FFFFFF"/>
            <w:tcMar>
              <w:top w:w="65" w:type="dxa"/>
              <w:bottom w:w="65" w:type="dxa"/>
              <w:left w:w="100" w:type="dxa"/>
              <w:right w:w="100" w:type="dxa"/>
            </w:tcMar>
            <w:vAlign w:val="center"/>
          </w:tcPr>
          <w:p>
            <w:pPr>
              <w:spacing w:after="0"/>
              <w:jc w:val="left"/>
            </w:pPr>
            <w:r>
              <w:rPr>
                <w:rFonts w:ascii="Calibri" w:hAnsi="Calibri"/>
                <w:color w:val="2C3E50"/>
                <w:sz w:val="19"/>
              </w:rPr>
              <w:t>categorical, binary</w:t>
            </w:r>
          </w:p>
        </w:tc>
        <w:tc>
          <w:tcPr>
            <w:tcW w:type="dxa" w:w="2736"/>
            <w:shd w:fill="FFFFFF"/>
            <w:tcMar>
              <w:top w:w="65" w:type="dxa"/>
              <w:bottom w:w="65" w:type="dxa"/>
              <w:left w:w="100" w:type="dxa"/>
              <w:right w:w="100" w:type="dxa"/>
            </w:tcMar>
            <w:vAlign w:val="center"/>
          </w:tcPr>
          <w:p>
            <w:pPr>
              <w:spacing w:after="0"/>
              <w:jc w:val="left"/>
            </w:pPr>
            <w:r>
              <w:rPr>
                <w:rFonts w:ascii="Calibri" w:hAnsi="Calibri"/>
                <w:color w:val="2C3E50"/>
                <w:sz w:val="19"/>
              </w:rPr>
              <w:t>Mapping origin-destination transition probabilities and corridor economics</w:t>
            </w:r>
          </w:p>
        </w:tc>
      </w:tr>
      <w:tr>
        <w:tc>
          <w:tcPr>
            <w:tcW w:type="dxa" w:w="2016"/>
            <w:shd w:fill="F8FAFC"/>
            <w:tcMar>
              <w:top w:w="65" w:type="dxa"/>
              <w:bottom w:w="65" w:type="dxa"/>
              <w:left w:w="100" w:type="dxa"/>
              <w:right w:w="100" w:type="dxa"/>
            </w:tcMar>
            <w:vAlign w:val="center"/>
          </w:tcPr>
          <w:p>
            <w:pPr>
              <w:spacing w:after="0"/>
              <w:jc w:val="left"/>
            </w:pPr>
            <w:r>
              <w:rPr>
                <w:rFonts w:ascii="Calibri" w:hAnsi="Calibri"/>
                <w:color w:val="2C3E50"/>
                <w:sz w:val="19"/>
              </w:rPr>
              <w:t>Economic &amp; Financial</w:t>
            </w:r>
          </w:p>
        </w:tc>
        <w:tc>
          <w:tcPr>
            <w:tcW w:type="dxa" w:w="2592"/>
            <w:shd w:fill="F8FAFC"/>
            <w:tcMar>
              <w:top w:w="65" w:type="dxa"/>
              <w:bottom w:w="65" w:type="dxa"/>
              <w:left w:w="100" w:type="dxa"/>
              <w:right w:w="100" w:type="dxa"/>
            </w:tcMar>
            <w:vAlign w:val="center"/>
          </w:tcPr>
          <w:p>
            <w:pPr>
              <w:spacing w:after="0"/>
              <w:jc w:val="left"/>
            </w:pPr>
            <w:r>
              <w:rPr>
                <w:rFonts w:ascii="Calibri" w:hAnsi="Calibri"/>
                <w:color w:val="2C3E50"/>
                <w:sz w:val="19"/>
              </w:rPr>
              <w:t>fare_capped, tip_capped, tolls, total, fare_per_mile, fare_per_minute, tip_percentage_capped</w:t>
            </w:r>
          </w:p>
        </w:tc>
        <w:tc>
          <w:tcPr>
            <w:tcW w:type="dxa" w:w="2016"/>
            <w:shd w:fill="F8FAFC"/>
            <w:tcMar>
              <w:top w:w="65" w:type="dxa"/>
              <w:bottom w:w="65" w:type="dxa"/>
              <w:left w:w="100" w:type="dxa"/>
              <w:right w:w="100" w:type="dxa"/>
            </w:tcMar>
            <w:vAlign w:val="center"/>
          </w:tcPr>
          <w:p>
            <w:pPr>
              <w:spacing w:after="0"/>
              <w:jc w:val="right"/>
            </w:pPr>
            <w:r>
              <w:rPr>
                <w:rFonts w:ascii="Calibri" w:hAnsi="Calibri"/>
                <w:color w:val="2C3E50"/>
                <w:sz w:val="19"/>
              </w:rPr>
              <w:t>float64</w:t>
            </w:r>
          </w:p>
        </w:tc>
        <w:tc>
          <w:tcPr>
            <w:tcW w:type="dxa" w:w="2736"/>
            <w:shd w:fill="F8FAFC"/>
            <w:tcMar>
              <w:top w:w="65" w:type="dxa"/>
              <w:bottom w:w="65" w:type="dxa"/>
              <w:left w:w="100" w:type="dxa"/>
              <w:right w:w="100" w:type="dxa"/>
            </w:tcMar>
            <w:vAlign w:val="center"/>
          </w:tcPr>
          <w:p>
            <w:pPr>
              <w:spacing w:after="0"/>
              <w:jc w:val="left"/>
            </w:pPr>
            <w:r>
              <w:rPr>
                <w:rFonts w:ascii="Calibri" w:hAnsi="Calibri"/>
                <w:color w:val="2C3E50"/>
                <w:sz w:val="19"/>
              </w:rPr>
              <w:t>Evaluating metered tariff elasticity, toll impact, and consumer gratuity dynamics</w:t>
            </w:r>
          </w:p>
        </w:tc>
      </w:tr>
    </w:tbl>
    <w:p>
      <w:pPr>
        <w:spacing w:after="120"/>
      </w:pPr>
    </w:p>
    <w:p>
      <w:pPr>
        <w:keepNext/>
        <w:spacing w:before="280" w:after="100"/>
      </w:pPr>
      <w:r>
        <w:rPr>
          <w:rFonts w:ascii="Arial" w:hAnsi="Arial"/>
          <w:b/>
          <w:color w:val="1F5F8B"/>
          <w:sz w:val="26"/>
        </w:rPr>
        <w:t>1.2 Aggregation and Analytical Transformations</w:t>
      </w:r>
    </w:p>
    <w:p>
      <w:pPr>
        <w:spacing w:after="120" w:line="276" w:lineRule="auto"/>
      </w:pPr>
      <w:r>
        <w:rPr>
          <w:rFonts w:ascii="Calibri" w:hAnsi="Calibri"/>
          <w:color w:val="2C3E50"/>
          <w:sz w:val="22"/>
        </w:rPr>
        <w:t>Throughout the exploratory process, specialized data transformations were constructed to reveal latent patterns: (1) **Time-of-Day Categorical Binning**: Hourly timestamps were aggregated into five operational regimes: Late Night/Dawn (00:00-06:00), Morning Rush (06:00-10:00), Midday (10:00-16:00), Evening Rush (16:00-20:00), and Night (20:00-24:00). (2) **Derived Unit Rates**: Formulated unit operational revenue rates, specifically `fare_per_mile` and `fare_per_minute`, enabling fair comparison across short congested trips and long highway airport transits. (3) **Gratuity Normalization**: Tip percentages were evaluated strictly on credit card transactions ($N = 4,547$) to isolate authentic consumer tipping decisions from unmetered cash handoffs.</w:t>
      </w:r>
    </w:p>
    <w:p>
      <w:pPr>
        <w:keepNext/>
        <w:spacing w:before="440" w:after="160"/>
      </w:pPr>
      <w:r>
        <w:rPr>
          <w:rFonts w:ascii="Arial" w:hAnsi="Arial"/>
          <w:b/>
          <w:color w:val="0F2942"/>
          <w:sz w:val="33"/>
        </w:rPr>
        <w:t>2. Circadian Rhythm Dynamics &amp; Hourly Traffic Kinematics</w:t>
      </w:r>
    </w:p>
    <w:p>
      <w:pPr>
        <w:spacing w:after="120" w:line="276" w:lineRule="auto"/>
      </w:pPr>
      <w:r>
        <w:rPr>
          <w:rFonts w:ascii="Calibri" w:hAnsi="Calibri"/>
          <w:color w:val="2C3E50"/>
          <w:sz w:val="22"/>
        </w:rPr>
        <w:t>Urban transit systems operate under pronounced 24-hour circadian rhythms driven by commercial business hours, social night-life, and metropolitan delivery logistics. Figure 1 illustrates the dual-axis relationship between hourly trip volume (blue bars) and mean vehicle velocity in miles per hour (red line curve).</w:t>
      </w:r>
    </w:p>
    <w:p>
      <w:pPr>
        <w:keepNext/>
        <w:spacing w:before="240" w:after="8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eda_fig1_circadian_demand_speed.png"/>
                    <pic:cNvPicPr/>
                  </pic:nvPicPr>
                  <pic:blipFill>
                    <a:blip r:embed="rId9"/>
                    <a:stretch>
                      <a:fillRect/>
                    </a:stretch>
                  </pic:blipFill>
                  <pic:spPr>
                    <a:xfrm>
                      <a:off x="0" y="0"/>
                      <a:ext cx="5486400" cy="2743200"/>
                    </a:xfrm>
                    <a:prstGeom prst="rect"/>
                  </pic:spPr>
                </pic:pic>
              </a:graphicData>
            </a:graphic>
          </wp:inline>
        </w:drawing>
      </w:r>
    </w:p>
    <w:p>
      <w:pPr>
        <w:spacing w:after="240"/>
        <w:jc w:val="center"/>
      </w:pPr>
      <w:r>
        <w:rPr>
          <w:rFonts w:ascii="Arial" w:hAnsi="Arial"/>
          <w:b/>
          <w:i/>
          <w:color w:val="1F5F8B"/>
          <w:sz w:val="19"/>
        </w:rPr>
        <w:t>Figure 1: Circadian Demand Rhythm vs. Kinematic Velocity Across 24-Hour Metropolitical Cycle</w:t>
      </w:r>
    </w:p>
    <w:p>
      <w:pPr>
        <w:keepNext/>
        <w:spacing w:before="280" w:after="100"/>
      </w:pPr>
      <w:r>
        <w:rPr>
          <w:rFonts w:ascii="Arial" w:hAnsi="Arial"/>
          <w:b/>
          <w:color w:val="1F5F8B"/>
          <w:sz w:val="26"/>
        </w:rPr>
        <w:t>2.1 Empirical Observations &amp; Trend Interpretations</w:t>
      </w:r>
    </w:p>
    <w:p>
      <w:pPr>
        <w:pStyle w:val="ListBullet"/>
        <w:spacing w:after="80" w:line="276" w:lineRule="auto"/>
      </w:pPr>
      <w:r>
        <w:rPr>
          <w:rFonts w:ascii="Calibri" w:hAnsi="Calibri"/>
          <w:b/>
          <w:color w:val="2C3E50"/>
          <w:sz w:val="22"/>
        </w:rPr>
        <w:t xml:space="preserve">• Demand Evolution: </w:t>
      </w:r>
      <w:r>
        <w:rPr>
          <w:rFonts w:ascii="Calibri" w:hAnsi="Calibri"/>
          <w:color w:val="2C3E50"/>
          <w:sz w:val="22"/>
        </w:rPr>
        <w:t>Bimodal Demand Profile: Demand volume begins expanding at 06:00, reaches an initial morning peak between 08:00 and 10:00, sustains moderate midday volume, and surges to an absolute peak at 18:00 (evening commuter rush), recording 480+ rides per hour.</w:t>
      </w:r>
    </w:p>
    <w:p>
      <w:pPr>
        <w:pStyle w:val="ListBullet"/>
        <w:spacing w:after="80" w:line="276" w:lineRule="auto"/>
      </w:pPr>
      <w:r>
        <w:rPr>
          <w:rFonts w:ascii="Calibri" w:hAnsi="Calibri"/>
          <w:b/>
          <w:color w:val="2C3E50"/>
          <w:sz w:val="22"/>
        </w:rPr>
        <w:t xml:space="preserve">• Speed Degradation: </w:t>
      </w:r>
      <w:r>
        <w:rPr>
          <w:rFonts w:ascii="Calibri" w:hAnsi="Calibri"/>
          <w:color w:val="2C3E50"/>
          <w:sz w:val="22"/>
        </w:rPr>
        <w:t>The Velocity Inversion Curve: Traffic velocity exhibits an exact inverse mirror image of trip demand. During the late-night free-flow window (03:00 to 05:00), average vehicle speed peaks at 15.8 mph. As morning commuters flood the roadway network, speed plummets to an acute minimum of 8.9 mph at 08:30 AM—a 43.7% degradation in traffic velocity!</w:t>
      </w:r>
    </w:p>
    <w:p>
      <w:pPr>
        <w:pStyle w:val="ListBullet"/>
        <w:spacing w:after="80" w:line="276" w:lineRule="auto"/>
      </w:pPr>
      <w:r>
        <w:rPr>
          <w:rFonts w:ascii="Calibri" w:hAnsi="Calibri"/>
          <w:b/>
          <w:color w:val="2C3E50"/>
          <w:sz w:val="22"/>
        </w:rPr>
        <w:t xml:space="preserve">• Hypothesis Testing: </w:t>
      </w:r>
      <w:r>
        <w:rPr>
          <w:rFonts w:ascii="Calibri" w:hAnsi="Calibri"/>
          <w:color w:val="2C3E50"/>
          <w:sz w:val="22"/>
        </w:rPr>
        <w:t>Statistical Hypothesis Confirmation: An independent Welch's two-sample t-test confirms that vehicle velocity during designated rush hours (mean = 10.09 mph) is significantly slower than during off-peak hours (mean = 12.02 mph), yielding t = -13.46, p = 1.75e-40. The effect size confirms severe structural roadway saturation.</w:t>
      </w:r>
    </w:p>
    <w:p>
      <w:pPr>
        <w:keepNext/>
        <w:spacing w:before="160" w:after="60"/>
      </w:pPr>
      <w:r>
        <w:rPr>
          <w:rFonts w:ascii="Arial" w:hAnsi="Arial"/>
          <w:b/>
          <w:color w:val="1F5F8B"/>
          <w:sz w:val="19"/>
        </w:rPr>
        <w:t>Code Snippet: Circadian Aggregation and Welch's T-Test</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left w:val="single" w:sz="18" w:space="0" w:color="1F5F8B"/>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 Python Snippet: Dual-Axis Circadian Aggregation</w:t>
              <w:br/>
              <w:t>hourly = df.groupby('pickup_hour').agg(</w:t>
              <w:br/>
              <w:t xml:space="preserve">    trip_count=('fare', 'count'),</w:t>
              <w:br/>
              <w:t xml:space="preserve">    mean_speed=('speed_mph', 'mean')</w:t>
              <w:br/>
              <w:t>).reset_index()</w:t>
              <w:br/>
              <w:br/>
              <w:t># Independent Two-Sample T-Test on Velocity</w:t>
              <w:br/>
              <w:t>speed_rush = df[df['is_rush_hour'] == 1]['speed_mph']</w:t>
              <w:br/>
              <w:t>speed_off = df[df['is_rush_hour'] == 0]['speed_mph']</w:t>
              <w:br/>
              <w:t>t_stat, p_val = stats.ttest_ind(speed_rush, speed_off, equal_var=False)</w:t>
              <w:br/>
              <w:t>print(f'T-Stat: {t_stat:.3f}, p-value: {p_val:.4e}')</w:t>
              <w:br/>
            </w:r>
          </w:p>
        </w:tc>
      </w:tr>
    </w:tbl>
    <w:p>
      <w:pPr>
        <w:spacing w:after="80"/>
      </w:pPr>
    </w:p>
    <w:p>
      <w:pPr>
        <w:keepNext/>
        <w:spacing w:before="440" w:after="160"/>
      </w:pPr>
      <w:r>
        <w:rPr>
          <w:rFonts w:ascii="Arial" w:hAnsi="Arial"/>
          <w:b/>
          <w:color w:val="0F2942"/>
          <w:sz w:val="33"/>
        </w:rPr>
        <w:t>3. Day-of-Week Seasonality &amp; Revenue Density Economics</w:t>
      </w:r>
    </w:p>
    <w:p>
      <w:pPr>
        <w:spacing w:after="120" w:line="276" w:lineRule="auto"/>
      </w:pPr>
      <w:r>
        <w:rPr>
          <w:rFonts w:ascii="Calibri" w:hAnsi="Calibri"/>
          <w:color w:val="2C3E50"/>
          <w:sz w:val="22"/>
        </w:rPr>
        <w:t>Weekly transit demand is heavily stratified by the rhythm of corporate workweeks and weekend leisure mobility. Figure 2 presents a comparative breakdown of total trip volume and average revenue generation efficiency ($/minute) across all seven days of the week.</w:t>
      </w:r>
    </w:p>
    <w:p>
      <w:pPr>
        <w:keepNext/>
        <w:spacing w:before="240" w:after="80"/>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eda_fig2_day_of_week_economics.png"/>
                    <pic:cNvPicPr/>
                  </pic:nvPicPr>
                  <pic:blipFill>
                    <a:blip r:embed="rId10"/>
                    <a:stretch>
                      <a:fillRect/>
                    </a:stretch>
                  </pic:blipFill>
                  <pic:spPr>
                    <a:xfrm>
                      <a:off x="0" y="0"/>
                      <a:ext cx="5486400" cy="2286000"/>
                    </a:xfrm>
                    <a:prstGeom prst="rect"/>
                  </pic:spPr>
                </pic:pic>
              </a:graphicData>
            </a:graphic>
          </wp:inline>
        </w:drawing>
      </w:r>
    </w:p>
    <w:p>
      <w:pPr>
        <w:spacing w:after="240"/>
        <w:jc w:val="center"/>
      </w:pPr>
      <w:r>
        <w:rPr>
          <w:rFonts w:ascii="Arial" w:hAnsi="Arial"/>
          <w:b/>
          <w:i/>
          <w:color w:val="1F5F8B"/>
          <w:sz w:val="19"/>
        </w:rPr>
        <w:t>Figure 2: Day-of-Week Mobility Patterns: Demand Volume vs. Revenue Generation Efficiency ($/min)</w:t>
      </w:r>
    </w:p>
    <w:p>
      <w:pPr>
        <w:keepNext/>
        <w:spacing w:before="280" w:after="100"/>
      </w:pPr>
      <w:r>
        <w:rPr>
          <w:rFonts w:ascii="Arial" w:hAnsi="Arial"/>
          <w:b/>
          <w:color w:val="1F5F8B"/>
          <w:sz w:val="26"/>
        </w:rPr>
        <w:t>3.1 Weekly Pattern Interpretations</w:t>
      </w:r>
    </w:p>
    <w:p>
      <w:pPr>
        <w:spacing w:after="120" w:line="276" w:lineRule="auto"/>
      </w:pPr>
      <w:r>
        <w:rPr>
          <w:rFonts w:ascii="Calibri" w:hAnsi="Calibri"/>
          <w:color w:val="2C3E50"/>
          <w:sz w:val="22"/>
        </w:rPr>
        <w:t>As observed in Figure 2A, demand builds progressively across the workweek, starting at Monday (845 rides), increasing steadily through Thursday (980 rides), and peaking sharply on Friday and Saturday (over 1,050 rides each). Weekend volume is characterized by evening dining, social outings, and Broadway theater transit.</w:t>
      </w:r>
    </w:p>
    <w:p>
      <w:pPr>
        <w:spacing w:after="120" w:line="276" w:lineRule="auto"/>
      </w:pPr>
      <w:r>
        <w:rPr>
          <w:rFonts w:ascii="Calibri" w:hAnsi="Calibri"/>
          <w:color w:val="2C3E50"/>
          <w:sz w:val="22"/>
        </w:rPr>
        <w:t>Crucially, Figure 2B reveals an essential economic efficiency insight: revenue per minute peaks on Saturdays and Sundays ($1.05/min and $1.08/min respectively), compared to weekdays ($0.94/min to $0.98/min). Why does weekend driving yield higher unit revenue? On weekends, reduced commercial truck traffic allows higher average speeds, enabling taxi drivers to complete a higher number of metered miles per unit time. Because the metered tariff charges $0.50 per 1/5 mile traveled (equivalent to $2.50/mile) versus only $0.50 per 60 seconds of stationary idling, higher speeds dramatically boost driver revenue velocity!</w:t>
      </w:r>
    </w:p>
    <w:p>
      <w:pPr>
        <w:keepNext/>
        <w:spacing w:before="440" w:after="160"/>
      </w:pPr>
      <w:r>
        <w:rPr>
          <w:rFonts w:ascii="Arial" w:hAnsi="Arial"/>
          <w:b/>
          <w:color w:val="0F2942"/>
          <w:sz w:val="33"/>
        </w:rPr>
        <w:t>4. Spatial Geography &amp; Inter-Borough Origin-Destination Flows</w:t>
      </w:r>
    </w:p>
    <w:p>
      <w:pPr>
        <w:spacing w:after="120" w:line="276" w:lineRule="auto"/>
      </w:pPr>
      <w:r>
        <w:rPr>
          <w:rFonts w:ascii="Calibri" w:hAnsi="Calibri"/>
          <w:color w:val="2C3E50"/>
          <w:sz w:val="22"/>
        </w:rPr>
        <w:t>New York City's complex archipelago geography—consisting of Manhattan, Brooklyn, Queens, the Bronx, and Staten Island—shapes distinct transit corridors governed by bridge crossings, toll barriers, and commercial zoning. Figure 3 presents the empirical Origin-Destination Transition Matrix, calculating the conditional probability $P(\text{Dropoff} \mid \text{Pickup})$ across boroughs.</w:t>
      </w:r>
    </w:p>
    <w:p>
      <w:pPr>
        <w:keepNext/>
        <w:spacing w:before="240" w:after="80"/>
        <w:jc w:val="center"/>
      </w:pPr>
      <w:r>
        <w:drawing>
          <wp:inline xmlns:a="http://schemas.openxmlformats.org/drawingml/2006/main" xmlns:pic="http://schemas.openxmlformats.org/drawingml/2006/picture">
            <wp:extent cx="5486400" cy="4267200"/>
            <wp:docPr id="3" name="Picture 3"/>
            <wp:cNvGraphicFramePr>
              <a:graphicFrameLocks noChangeAspect="1"/>
            </wp:cNvGraphicFramePr>
            <a:graphic>
              <a:graphicData uri="http://schemas.openxmlformats.org/drawingml/2006/picture">
                <pic:pic>
                  <pic:nvPicPr>
                    <pic:cNvPr id="0" name="eda_fig3_spatial_od_matrix.png"/>
                    <pic:cNvPicPr/>
                  </pic:nvPicPr>
                  <pic:blipFill>
                    <a:blip r:embed="rId11"/>
                    <a:stretch>
                      <a:fillRect/>
                    </a:stretch>
                  </pic:blipFill>
                  <pic:spPr>
                    <a:xfrm>
                      <a:off x="0" y="0"/>
                      <a:ext cx="5486400" cy="4267200"/>
                    </a:xfrm>
                    <a:prstGeom prst="rect"/>
                  </pic:spPr>
                </pic:pic>
              </a:graphicData>
            </a:graphic>
          </wp:inline>
        </w:drawing>
      </w:r>
    </w:p>
    <w:p>
      <w:pPr>
        <w:spacing w:after="240"/>
        <w:jc w:val="center"/>
      </w:pPr>
      <w:r>
        <w:rPr>
          <w:rFonts w:ascii="Arial" w:hAnsi="Arial"/>
          <w:b/>
          <w:i/>
          <w:color w:val="1F5F8B"/>
          <w:sz w:val="19"/>
        </w:rPr>
        <w:t>Figure 3: Spatial Origin-Destination Flow Heatmap (Row-Normalized Transition Probabilities %)</w:t>
      </w:r>
    </w:p>
    <w:p>
      <w:pPr>
        <w:keepNext/>
        <w:spacing w:before="280" w:after="100"/>
      </w:pPr>
      <w:r>
        <w:rPr>
          <w:rFonts w:ascii="Arial" w:hAnsi="Arial"/>
          <w:b/>
          <w:color w:val="1F5F8B"/>
          <w:sz w:val="26"/>
        </w:rPr>
        <w:t>4.1 Spatial Flow Dynamics</w:t>
      </w:r>
    </w:p>
    <w:p>
      <w:pPr>
        <w:pStyle w:val="ListBullet"/>
        <w:spacing w:after="80" w:line="276" w:lineRule="auto"/>
      </w:pPr>
      <w:r>
        <w:rPr>
          <w:rFonts w:ascii="Calibri" w:hAnsi="Calibri"/>
          <w:b/>
          <w:color w:val="2C3E50"/>
          <w:sz w:val="22"/>
        </w:rPr>
        <w:t xml:space="preserve">1. Manhattan Retention: </w:t>
      </w:r>
      <w:r>
        <w:rPr>
          <w:rFonts w:ascii="Calibri" w:hAnsi="Calibri"/>
          <w:color w:val="2C3E50"/>
          <w:sz w:val="22"/>
        </w:rPr>
        <w:t>Hyper-Localized Manhattan Circuit: Exactly 88.4% of all trips originating in Manhattan also terminate in Manhattan. This reveals that the vast majority of Manhattan taxi operations consist of short intra-borough hops between Midtown office towers, Downtown financial hubs, and residential Upper East/West Sides.</w:t>
      </w:r>
    </w:p>
    <w:p>
      <w:pPr>
        <w:pStyle w:val="ListBullet"/>
        <w:spacing w:after="80" w:line="276" w:lineRule="auto"/>
      </w:pPr>
      <w:r>
        <w:rPr>
          <w:rFonts w:ascii="Calibri" w:hAnsi="Calibri"/>
          <w:b/>
          <w:color w:val="2C3E50"/>
          <w:sz w:val="22"/>
        </w:rPr>
        <w:t xml:space="preserve">2. Queens Export Dynamics: </w:t>
      </w:r>
      <w:r>
        <w:rPr>
          <w:rFonts w:ascii="Calibri" w:hAnsi="Calibri"/>
          <w:color w:val="2C3E50"/>
          <w:sz w:val="22"/>
        </w:rPr>
        <w:t>Queens Outer-Borough Feeder: In contrast to Manhattan's self-contained nature, only 56.2% of Queens pickups terminate in Queens. A massive 33.1% of Queens trips cross into Manhattan. This asymmetry is driven by Queens housing major transportation nodes (JFK International Airport and LaGuardia Airport), functioning as a primary passenger feeder into Manhattan.</w:t>
      </w:r>
    </w:p>
    <w:p>
      <w:pPr>
        <w:pStyle w:val="ListBullet"/>
        <w:spacing w:after="80" w:line="276" w:lineRule="auto"/>
      </w:pPr>
      <w:r>
        <w:rPr>
          <w:rFonts w:ascii="Calibri" w:hAnsi="Calibri"/>
          <w:b/>
          <w:color w:val="2C3E50"/>
          <w:sz w:val="22"/>
        </w:rPr>
        <w:t xml:space="preserve">3. Brooklyn Corridor: </w:t>
      </w:r>
      <w:r>
        <w:rPr>
          <w:rFonts w:ascii="Calibri" w:hAnsi="Calibri"/>
          <w:color w:val="2C3E50"/>
          <w:sz w:val="22"/>
        </w:rPr>
        <w:t>Brooklyn Intra-Urban Transit: Brooklyn exhibits 74.5% intra-borough retention, with 19.8% migrating across the East River into Manhattan, primarily serving commuter corridors across the Manhattan, Brooklyn, and Williamsburg Bridges.</w:t>
      </w:r>
    </w:p>
    <w:p>
      <w:pPr>
        <w:keepNext/>
        <w:spacing w:before="160" w:after="60"/>
      </w:pPr>
      <w:r>
        <w:rPr>
          <w:rFonts w:ascii="Arial" w:hAnsi="Arial"/>
          <w:b/>
          <w:color w:val="1F5F8B"/>
          <w:sz w:val="19"/>
        </w:rPr>
        <w:t>Code Snippet: Origin-Destination Matrix Computation</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left w:val="single" w:sz="18" w:space="0" w:color="1F5F8B"/>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 Python Snippet: Cross-Borough Transition Matrix</w:t>
              <w:br/>
              <w:t>boroughs = ['Manhattan', 'Queens', 'Brooklyn', 'Bronx', 'Unknown']</w:t>
              <w:br/>
              <w:t>df_b = df[df['pickup_borough'].isin(boroughs) &amp; df['dropoff_borough'].isin(boroughs)]</w:t>
              <w:br/>
              <w:t>od_prob_matrix = pd.crosstab(</w:t>
              <w:br/>
              <w:t xml:space="preserve">    df_b['pickup_borough'], </w:t>
              <w:br/>
              <w:t xml:space="preserve">    df_b['dropoff_borough'], </w:t>
              <w:br/>
              <w:t xml:space="preserve">    normalize='index'</w:t>
              <w:br/>
              <w:t>) * 100</w:t>
              <w:br/>
              <w:t>print(od_prob_matrix.round(1))</w:t>
              <w:br/>
            </w:r>
          </w:p>
        </w:tc>
      </w:tr>
    </w:tbl>
    <w:p>
      <w:pPr>
        <w:spacing w:after="80"/>
      </w:pPr>
    </w:p>
    <w:p>
      <w:pPr>
        <w:keepNext/>
        <w:spacing w:before="440" w:after="160"/>
      </w:pPr>
      <w:r>
        <w:rPr>
          <w:rFonts w:ascii="Arial" w:hAnsi="Arial"/>
          <w:b/>
          <w:color w:val="0F2942"/>
          <w:sz w:val="33"/>
        </w:rPr>
        <w:t>5. Consumer Gratuity Dynamics &amp; Behavioral Tipping Propensity</w:t>
      </w:r>
    </w:p>
    <w:p>
      <w:pPr>
        <w:spacing w:after="120" w:line="276" w:lineRule="auto"/>
      </w:pPr>
      <w:r>
        <w:rPr>
          <w:rFonts w:ascii="Calibri" w:hAnsi="Calibri"/>
          <w:color w:val="2C3E50"/>
          <w:sz w:val="22"/>
        </w:rPr>
        <w:t>Consumer tipping behavior represents a rich intersection of behavioral economics, psychological nudging, and social norms. Because cash tips are unmetered, this analysis evaluates credit card transactions ($N = 4,547$) where passenger tip selections are captured electronically via the passenger payment monitor.</w:t>
      </w:r>
    </w:p>
    <w:p>
      <w:pPr>
        <w:keepNext/>
        <w:spacing w:before="240" w:after="80"/>
        <w:jc w:val="center"/>
      </w:pPr>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eda_fig4_tip_propensity_dynamics.png"/>
                    <pic:cNvPicPr/>
                  </pic:nvPicPr>
                  <pic:blipFill>
                    <a:blip r:embed="rId12"/>
                    <a:stretch>
                      <a:fillRect/>
                    </a:stretch>
                  </pic:blipFill>
                  <pic:spPr>
                    <a:xfrm>
                      <a:off x="0" y="0"/>
                      <a:ext cx="5486400" cy="2286000"/>
                    </a:xfrm>
                    <a:prstGeom prst="rect"/>
                  </pic:spPr>
                </pic:pic>
              </a:graphicData>
            </a:graphic>
          </wp:inline>
        </w:drawing>
      </w:r>
    </w:p>
    <w:p>
      <w:pPr>
        <w:spacing w:after="240"/>
        <w:jc w:val="center"/>
      </w:pPr>
      <w:r>
        <w:rPr>
          <w:rFonts w:ascii="Arial" w:hAnsi="Arial"/>
          <w:b/>
          <w:i/>
          <w:color w:val="1F5F8B"/>
          <w:sz w:val="19"/>
        </w:rPr>
        <w:t>Figure 4: Consumer Gratuity Behavioral Dynamics Across Time-of-Day Regimes and Party Sizes</w:t>
      </w:r>
    </w:p>
    <w:p>
      <w:pPr>
        <w:keepNext/>
        <w:spacing w:before="280" w:after="100"/>
      </w:pPr>
      <w:r>
        <w:rPr>
          <w:rFonts w:ascii="Arial" w:hAnsi="Arial"/>
          <w:b/>
          <w:color w:val="1F5F8B"/>
          <w:sz w:val="26"/>
        </w:rPr>
        <w:t>5.1 Gratuity Distribution &amp; Prompt Anchoring</w:t>
      </w:r>
    </w:p>
    <w:p>
      <w:pPr>
        <w:spacing w:after="120" w:line="276" w:lineRule="auto"/>
      </w:pPr>
      <w:r>
        <w:rPr>
          <w:rFonts w:ascii="Calibri" w:hAnsi="Calibri"/>
          <w:color w:val="2C3E50"/>
          <w:sz w:val="22"/>
        </w:rPr>
        <w:t>Figure 4A displays the distribution of tip percentages across the five operational time regimes. Tipping behavior exhibits remarkable stability, with a dataset-wide mean credit tip of 23.8% and a median of 25.5%. Why is the median tip exactly 25.5%? In NYC TLC taxis, the touch-screen payment terminals display preset prompt buttons: '20%', '25%', and '30%'. Most riders simply select the middle or default button, demonstrating profound behavioral anchoring to software user interface defaults.</w:t>
      </w:r>
    </w:p>
    <w:p>
      <w:pPr>
        <w:keepNext/>
        <w:spacing w:before="280" w:after="100"/>
      </w:pPr>
      <w:r>
        <w:rPr>
          <w:rFonts w:ascii="Arial" w:hAnsi="Arial"/>
          <w:b/>
          <w:color w:val="1F5F8B"/>
          <w:sz w:val="26"/>
        </w:rPr>
        <w:t>5.2 Party Size and Diffusion of Responsibility</w:t>
      </w:r>
    </w:p>
    <w:p>
      <w:pPr>
        <w:spacing w:after="120" w:line="276" w:lineRule="auto"/>
      </w:pPr>
      <w:r>
        <w:rPr>
          <w:rFonts w:ascii="Calibri" w:hAnsi="Calibri"/>
          <w:color w:val="2C3E50"/>
          <w:sz w:val="22"/>
        </w:rPr>
        <w:t>Figure 4B investigates tip percentages stratified by declared passenger party size. A non-parametric Kruskal-Wallis H-test was conducted to evaluate whether passenger count alters tipping generosity. The test yielded $H = 15.501, p = 0.0084$, confirming statistically significant divergence across party sizes. Solo travelers exhibit the highest and most consistent tip percentages (median 25.5%), whereas parties of 5 and 6 passengers exhibit greater downward variance. In behavioral economics, this aligns with the 'Diffusion of Responsibility' phenomenon, where group dynamics and split fares occasionally result in reduced gratuity rates.</w:t>
      </w:r>
    </w:p>
    <w:p>
      <w:pPr>
        <w:keepNext/>
        <w:spacing w:before="440" w:after="160"/>
      </w:pPr>
      <w:r>
        <w:rPr>
          <w:rFonts w:ascii="Arial" w:hAnsi="Arial"/>
          <w:b/>
          <w:color w:val="0F2942"/>
          <w:sz w:val="33"/>
        </w:rPr>
        <w:t>6. Operational Disparities: Yellow Medallion vs. Green Boro Taxis</w:t>
      </w:r>
    </w:p>
    <w:p>
      <w:pPr>
        <w:spacing w:after="120" w:line="276" w:lineRule="auto"/>
      </w:pPr>
      <w:r>
        <w:rPr>
          <w:rFonts w:ascii="Calibri" w:hAnsi="Calibri"/>
          <w:color w:val="2C3E50"/>
          <w:sz w:val="22"/>
        </w:rPr>
        <w:t>New York City operates a bifurcated taxi regulatory structure: iconic Yellow Medallion Cabs possess exclusive rights to street hails in Manhattan south of East 96th Street and West 110th Street, whereas Green Boro Taxis (Street Hail Livery) were created by local law in 2013 to serve the historically underserved outer boroughs (Brooklyn, Queens, Bronx, Staten Island, and Northern Manhattan). Figure 5 contrasts their trip characteristics across distance, duration, and unit revenue.</w:t>
      </w:r>
    </w:p>
    <w:p>
      <w:pPr>
        <w:keepNext/>
        <w:spacing w:before="240" w:after="80"/>
        <w:jc w:val="center"/>
      </w:pPr>
      <w:r>
        <w:drawing>
          <wp:inline xmlns:a="http://schemas.openxmlformats.org/drawingml/2006/main" xmlns:pic="http://schemas.openxmlformats.org/drawingml/2006/picture">
            <wp:extent cx="5486400" cy="1899138"/>
            <wp:docPr id="5" name="Picture 5"/>
            <wp:cNvGraphicFramePr>
              <a:graphicFrameLocks noChangeAspect="1"/>
            </wp:cNvGraphicFramePr>
            <a:graphic>
              <a:graphicData uri="http://schemas.openxmlformats.org/drawingml/2006/picture">
                <pic:pic>
                  <pic:nvPicPr>
                    <pic:cNvPr id="0" name="eda_fig5_yellow_vs_green_disparity.png"/>
                    <pic:cNvPicPr/>
                  </pic:nvPicPr>
                  <pic:blipFill>
                    <a:blip r:embed="rId13"/>
                    <a:stretch>
                      <a:fillRect/>
                    </a:stretch>
                  </pic:blipFill>
                  <pic:spPr>
                    <a:xfrm>
                      <a:off x="0" y="0"/>
                      <a:ext cx="5486400" cy="1899138"/>
                    </a:xfrm>
                    <a:prstGeom prst="rect"/>
                  </pic:spPr>
                </pic:pic>
              </a:graphicData>
            </a:graphic>
          </wp:inline>
        </w:drawing>
      </w:r>
    </w:p>
    <w:p>
      <w:pPr>
        <w:spacing w:after="240"/>
        <w:jc w:val="center"/>
      </w:pPr>
      <w:r>
        <w:rPr>
          <w:rFonts w:ascii="Arial" w:hAnsi="Arial"/>
          <w:b/>
          <w:i/>
          <w:color w:val="1F5F8B"/>
          <w:sz w:val="19"/>
        </w:rPr>
        <w:t>Figure 5: Operational Disparities: Yellow Medallion Cabs vs. Green Boro Taxis</w:t>
      </w:r>
    </w:p>
    <w:p>
      <w:pPr>
        <w:keepNext/>
        <w:spacing w:before="280" w:after="100"/>
      </w:pPr>
      <w:r>
        <w:rPr>
          <w:rFonts w:ascii="Arial" w:hAnsi="Arial"/>
          <w:b/>
          <w:color w:val="1F5F8B"/>
          <w:sz w:val="26"/>
        </w:rPr>
        <w:t>6.1 Empirical Divergence Between Fleets</w:t>
      </w:r>
    </w:p>
    <w:p>
      <w:pPr>
        <w:spacing w:after="120" w:line="276" w:lineRule="auto"/>
      </w:pPr>
      <w:r>
        <w:rPr>
          <w:rFonts w:ascii="Calibri" w:hAnsi="Calibri"/>
          <w:color w:val="2C3E50"/>
          <w:sz w:val="22"/>
        </w:rPr>
        <w:t>Of the 6,360 analyzed trips, 5,405 (85.0%) were Yellow Cabs and 955 (15.0%) were Green Boro Cabs. As displayed in Figure 5A and 5B, Green Cabs exhibit significantly greater dispersion in trip distances (longer outer-borough hauls) and longer trip durations. Figure 5C highlights unit revenue: Yellow Cabs generate a mean of $5.94 per mile, whereas Green Cabs generate $5.64 per mile. A non-parametric Mann-Whitney U test confirms that Yellow Cab unit revenue density is statistically significantly higher than Green Cabs (U = 2,965,068.5, p = 2.06e-13). This disparity reflects Manhattan's severe traffic density, where meters tick up based on elapsed idle time rather than rapid odometer distance.</w:t>
      </w:r>
    </w:p>
    <w:p>
      <w:pPr>
        <w:keepNext/>
        <w:spacing w:before="440" w:after="160"/>
      </w:pPr>
      <w:r>
        <w:rPr>
          <w:rFonts w:ascii="Arial" w:hAnsi="Arial"/>
          <w:b/>
          <w:color w:val="0F2942"/>
          <w:sz w:val="33"/>
        </w:rPr>
        <w:t>7. Macro-Economic Profiling: Airport Transit vs. Standard Metropolitan Trips</w:t>
      </w:r>
    </w:p>
    <w:p>
      <w:pPr>
        <w:spacing w:after="120" w:line="276" w:lineRule="auto"/>
      </w:pPr>
      <w:r>
        <w:rPr>
          <w:rFonts w:ascii="Calibri" w:hAnsi="Calibri"/>
          <w:color w:val="2C3E50"/>
          <w:sz w:val="22"/>
        </w:rPr>
        <w:t>Airport corridors (JFK International and LaGuardia) constitute the financial lifeblood of urban taxi fleets. Under TLC regulations, trips between Manhattan and JFK are subject to a statutory flat-rate tariff ($52.00 base fare plus tolls and surcharges), whereas LaGuardia trips operate on standard metered rates. Figure 6 contrasts airport transits ($N = 400$) against standard intra-city trips ($N = 5,960$).</w:t>
      </w:r>
    </w:p>
    <w:p>
      <w:pPr>
        <w:keepNext/>
        <w:spacing w:before="240" w:after="80"/>
        <w:jc w:val="center"/>
      </w:pPr>
      <w:r>
        <w:drawing>
          <wp:inline xmlns:a="http://schemas.openxmlformats.org/drawingml/2006/main" xmlns:pic="http://schemas.openxmlformats.org/drawingml/2006/picture">
            <wp:extent cx="5486400" cy="1899138"/>
            <wp:docPr id="6" name="Picture 6"/>
            <wp:cNvGraphicFramePr>
              <a:graphicFrameLocks noChangeAspect="1"/>
            </wp:cNvGraphicFramePr>
            <a:graphic>
              <a:graphicData uri="http://schemas.openxmlformats.org/drawingml/2006/picture">
                <pic:pic>
                  <pic:nvPicPr>
                    <pic:cNvPr id="0" name="eda_fig6_airport_transit_economics.png"/>
                    <pic:cNvPicPr/>
                  </pic:nvPicPr>
                  <pic:blipFill>
                    <a:blip r:embed="rId14"/>
                    <a:stretch>
                      <a:fillRect/>
                    </a:stretch>
                  </pic:blipFill>
                  <pic:spPr>
                    <a:xfrm>
                      <a:off x="0" y="0"/>
                      <a:ext cx="5486400" cy="1899138"/>
                    </a:xfrm>
                    <a:prstGeom prst="rect"/>
                  </pic:spPr>
                </pic:pic>
              </a:graphicData>
            </a:graphic>
          </wp:inline>
        </w:drawing>
      </w:r>
    </w:p>
    <w:p>
      <w:pPr>
        <w:spacing w:after="240"/>
        <w:jc w:val="center"/>
      </w:pPr>
      <w:r>
        <w:rPr>
          <w:rFonts w:ascii="Arial" w:hAnsi="Arial"/>
          <w:b/>
          <w:i/>
          <w:color w:val="1F5F8B"/>
          <w:sz w:val="19"/>
        </w:rPr>
        <w:t>Figure 6: Economic Profiling of Airport Transit vs. Standard Metropolitan Trips</w:t>
      </w:r>
    </w:p>
    <w:p>
      <w:pPr>
        <w:keepNext/>
        <w:spacing w:before="280" w:after="100"/>
      </w:pPr>
      <w:r>
        <w:rPr>
          <w:rFonts w:ascii="Arial" w:hAnsi="Arial"/>
          <w:b/>
          <w:color w:val="1F5F8B"/>
          <w:sz w:val="26"/>
        </w:rPr>
        <w:t>7.1 Comparative Economic Analysis</w:t>
      </w:r>
    </w:p>
    <w:p>
      <w:pPr>
        <w:spacing w:after="120" w:line="276" w:lineRule="auto"/>
      </w:pPr>
      <w:r>
        <w:rPr>
          <w:rFonts w:ascii="Calibri" w:hAnsi="Calibri"/>
          <w:color w:val="2C3E50"/>
          <w:sz w:val="22"/>
        </w:rPr>
        <w:t>Table 2 summarizes the economic disparity between airport runs and regular street hails. Airport trips generate more than triple the base fare ($37.35 vs. $11.27) and incur an average of $3.58 in bridge/tunnel tolls, compared to only $0.11 for intra-city trips. This explains why airport dispatch queues at JFK and LGA routinely attract hundreds of drivers willing to wait 90+ minutes for a single high-yield fare.</w:t>
      </w:r>
    </w:p>
    <w:tbl>
      <w:tblPr>
        <w:tblW w:type="auto" w:w="0"/>
        <w:jc w:val="center"/>
        <w:tblLook w:firstColumn="1" w:firstRow="1" w:lastColumn="0" w:lastRow="0" w:noHBand="0" w:noVBand="1" w:val="04A0"/>
        <w:tblBorders>
          <w:top w:val="single" w:sz="6" w:space="0" w:color="0F2942"/>
          <w:bottom w:val="single" w:sz="8" w:space="0" w:color="0F2942"/>
          <w:left w:val="none"/>
          <w:right w:val="none"/>
          <w:insideH w:val="single" w:sz="4" w:space="0" w:color="CBD5E1"/>
          <w:insideV w:val="none"/>
        </w:tblBorders>
      </w:tblPr>
      <w:tblGrid>
        <w:gridCol w:w="1560"/>
        <w:gridCol w:w="1560"/>
        <w:gridCol w:w="1560"/>
        <w:gridCol w:w="1560"/>
        <w:gridCol w:w="1560"/>
        <w:gridCol w:w="1560"/>
      </w:tblGrid>
      <w:tr>
        <w:tc>
          <w:tcPr>
            <w:tcW w:type="dxa" w:w="2304"/>
            <w:shd w:fill="0F2942"/>
            <w:tcMar>
              <w:top w:w="90" w:type="dxa"/>
              <w:bottom w:w="90" w:type="dxa"/>
              <w:left w:w="110" w:type="dxa"/>
              <w:right w:w="110" w:type="dxa"/>
            </w:tcMar>
            <w:vAlign w:val="center"/>
          </w:tcPr>
          <w:p>
            <w:pPr>
              <w:spacing w:after="0"/>
              <w:jc w:val="center"/>
            </w:pPr>
            <w:r>
              <w:rPr>
                <w:rFonts w:ascii="Arial" w:hAnsi="Arial"/>
                <w:b/>
                <w:color w:val="FFFFFF"/>
                <w:sz w:val="19"/>
              </w:rPr>
              <w:t>Trip Category</w:t>
            </w:r>
          </w:p>
        </w:tc>
        <w:tc>
          <w:tcPr>
            <w:tcW w:type="dxa" w:w="1296"/>
            <w:shd w:fill="0F2942"/>
            <w:tcMar>
              <w:top w:w="90" w:type="dxa"/>
              <w:bottom w:w="90" w:type="dxa"/>
              <w:left w:w="110" w:type="dxa"/>
              <w:right w:w="110" w:type="dxa"/>
            </w:tcMar>
            <w:vAlign w:val="center"/>
          </w:tcPr>
          <w:p>
            <w:pPr>
              <w:spacing w:after="0"/>
              <w:jc w:val="center"/>
            </w:pPr>
            <w:r>
              <w:rPr>
                <w:rFonts w:ascii="Arial" w:hAnsi="Arial"/>
                <w:b/>
                <w:color w:val="FFFFFF"/>
                <w:sz w:val="19"/>
              </w:rPr>
              <w:t>Sample Count</w:t>
            </w:r>
          </w:p>
        </w:tc>
        <w:tc>
          <w:tcPr>
            <w:tcW w:type="dxa" w:w="1440"/>
            <w:shd w:fill="0F2942"/>
            <w:tcMar>
              <w:top w:w="90" w:type="dxa"/>
              <w:bottom w:w="90" w:type="dxa"/>
              <w:left w:w="110" w:type="dxa"/>
              <w:right w:w="110" w:type="dxa"/>
            </w:tcMar>
            <w:vAlign w:val="center"/>
          </w:tcPr>
          <w:p>
            <w:pPr>
              <w:spacing w:after="0"/>
              <w:jc w:val="center"/>
            </w:pPr>
            <w:r>
              <w:rPr>
                <w:rFonts w:ascii="Arial" w:hAnsi="Arial"/>
                <w:b/>
                <w:color w:val="FFFFFF"/>
                <w:sz w:val="19"/>
              </w:rPr>
              <w:t>Mean Distance</w:t>
            </w:r>
          </w:p>
        </w:tc>
        <w:tc>
          <w:tcPr>
            <w:tcW w:type="dxa" w:w="1440"/>
            <w:shd w:fill="0F2942"/>
            <w:tcMar>
              <w:top w:w="90" w:type="dxa"/>
              <w:bottom w:w="90" w:type="dxa"/>
              <w:left w:w="110" w:type="dxa"/>
              <w:right w:w="110" w:type="dxa"/>
            </w:tcMar>
            <w:vAlign w:val="center"/>
          </w:tcPr>
          <w:p>
            <w:pPr>
              <w:spacing w:after="0"/>
              <w:jc w:val="center"/>
            </w:pPr>
            <w:r>
              <w:rPr>
                <w:rFonts w:ascii="Arial" w:hAnsi="Arial"/>
                <w:b/>
                <w:color w:val="FFFFFF"/>
                <w:sz w:val="19"/>
              </w:rPr>
              <w:t>Mean Base Fare</w:t>
            </w:r>
          </w:p>
        </w:tc>
        <w:tc>
          <w:tcPr>
            <w:tcW w:type="dxa" w:w="1440"/>
            <w:shd w:fill="0F2942"/>
            <w:tcMar>
              <w:top w:w="90" w:type="dxa"/>
              <w:bottom w:w="90" w:type="dxa"/>
              <w:left w:w="110" w:type="dxa"/>
              <w:right w:w="110" w:type="dxa"/>
            </w:tcMar>
            <w:vAlign w:val="center"/>
          </w:tcPr>
          <w:p>
            <w:pPr>
              <w:spacing w:after="0"/>
              <w:jc w:val="center"/>
            </w:pPr>
            <w:r>
              <w:rPr>
                <w:rFonts w:ascii="Arial" w:hAnsi="Arial"/>
                <w:b/>
                <w:color w:val="FFFFFF"/>
                <w:sz w:val="19"/>
              </w:rPr>
              <w:t>Mean Highway Tolls</w:t>
            </w:r>
          </w:p>
        </w:tc>
        <w:tc>
          <w:tcPr>
            <w:tcW w:type="dxa" w:w="1440"/>
            <w:shd w:fill="0F2942"/>
            <w:tcMar>
              <w:top w:w="90" w:type="dxa"/>
              <w:bottom w:w="90" w:type="dxa"/>
              <w:left w:w="110" w:type="dxa"/>
              <w:right w:w="110" w:type="dxa"/>
            </w:tcMar>
            <w:vAlign w:val="center"/>
          </w:tcPr>
          <w:p>
            <w:pPr>
              <w:spacing w:after="0"/>
              <w:jc w:val="center"/>
            </w:pPr>
            <w:r>
              <w:rPr>
                <w:rFonts w:ascii="Arial" w:hAnsi="Arial"/>
                <w:b/>
                <w:color w:val="FFFFFF"/>
                <w:sz w:val="19"/>
              </w:rPr>
              <w:t>Mean Total Expenditure</w:t>
            </w:r>
          </w:p>
        </w:tc>
      </w:tr>
      <w:tr>
        <w:tc>
          <w:tcPr>
            <w:tcW w:type="dxa" w:w="2304"/>
            <w:shd w:fill="FFFFFF"/>
            <w:tcMar>
              <w:top w:w="65" w:type="dxa"/>
              <w:bottom w:w="65" w:type="dxa"/>
              <w:left w:w="100" w:type="dxa"/>
              <w:right w:w="100" w:type="dxa"/>
            </w:tcMar>
            <w:vAlign w:val="center"/>
          </w:tcPr>
          <w:p>
            <w:pPr>
              <w:spacing w:after="0"/>
              <w:jc w:val="left"/>
            </w:pPr>
            <w:r>
              <w:rPr>
                <w:rFonts w:ascii="Calibri" w:hAnsi="Calibri"/>
                <w:color w:val="2C3E50"/>
                <w:sz w:val="19"/>
              </w:rPr>
              <w:t>Airport Transit (JFK/LGA)</w:t>
            </w:r>
          </w:p>
        </w:tc>
        <w:tc>
          <w:tcPr>
            <w:tcW w:type="dxa" w:w="1296"/>
            <w:shd w:fill="FFFFFF"/>
            <w:tcMar>
              <w:top w:w="65" w:type="dxa"/>
              <w:bottom w:w="65" w:type="dxa"/>
              <w:left w:w="100" w:type="dxa"/>
              <w:right w:w="100" w:type="dxa"/>
            </w:tcMar>
            <w:vAlign w:val="center"/>
          </w:tcPr>
          <w:p>
            <w:pPr>
              <w:spacing w:after="0"/>
              <w:jc w:val="right"/>
            </w:pPr>
            <w:r>
              <w:rPr>
                <w:rFonts w:ascii="Calibri" w:hAnsi="Calibri"/>
                <w:color w:val="2C3E50"/>
                <w:sz w:val="19"/>
              </w:rPr>
              <w:t>400</w:t>
            </w:r>
          </w:p>
        </w:tc>
        <w:tc>
          <w:tcPr>
            <w:tcW w:type="dxa" w:w="1440"/>
            <w:shd w:fill="FFFFFF"/>
            <w:tcMar>
              <w:top w:w="65" w:type="dxa"/>
              <w:bottom w:w="65" w:type="dxa"/>
              <w:left w:w="100" w:type="dxa"/>
              <w:right w:w="100" w:type="dxa"/>
            </w:tcMar>
            <w:vAlign w:val="center"/>
          </w:tcPr>
          <w:p>
            <w:pPr>
              <w:spacing w:after="0"/>
              <w:jc w:val="left"/>
            </w:pPr>
            <w:r>
              <w:rPr>
                <w:rFonts w:ascii="Calibri" w:hAnsi="Calibri"/>
                <w:color w:val="2C3E50"/>
                <w:sz w:val="19"/>
              </w:rPr>
              <w:t>12.84 miles</w:t>
            </w:r>
          </w:p>
        </w:tc>
        <w:tc>
          <w:tcPr>
            <w:tcW w:type="dxa" w:w="1440"/>
            <w:shd w:fill="FFFFFF"/>
            <w:tcMar>
              <w:top w:w="65" w:type="dxa"/>
              <w:bottom w:w="65" w:type="dxa"/>
              <w:left w:w="100" w:type="dxa"/>
              <w:right w:w="100" w:type="dxa"/>
            </w:tcMar>
            <w:vAlign w:val="center"/>
          </w:tcPr>
          <w:p>
            <w:pPr>
              <w:spacing w:after="0"/>
              <w:jc w:val="right"/>
            </w:pPr>
            <w:r>
              <w:rPr>
                <w:rFonts w:ascii="Calibri" w:hAnsi="Calibri"/>
                <w:color w:val="2C3E50"/>
                <w:sz w:val="19"/>
              </w:rPr>
              <w:t>$37.35</w:t>
            </w:r>
          </w:p>
        </w:tc>
        <w:tc>
          <w:tcPr>
            <w:tcW w:type="dxa" w:w="1440"/>
            <w:shd w:fill="FFFFFF"/>
            <w:tcMar>
              <w:top w:w="65" w:type="dxa"/>
              <w:bottom w:w="65" w:type="dxa"/>
              <w:left w:w="100" w:type="dxa"/>
              <w:right w:w="100" w:type="dxa"/>
            </w:tcMar>
            <w:vAlign w:val="center"/>
          </w:tcPr>
          <w:p>
            <w:pPr>
              <w:spacing w:after="0"/>
              <w:jc w:val="right"/>
            </w:pPr>
            <w:r>
              <w:rPr>
                <w:rFonts w:ascii="Calibri" w:hAnsi="Calibri"/>
                <w:color w:val="2C3E50"/>
                <w:sz w:val="19"/>
              </w:rPr>
              <w:t>$3.58</w:t>
            </w:r>
          </w:p>
        </w:tc>
        <w:tc>
          <w:tcPr>
            <w:tcW w:type="dxa" w:w="1440"/>
            <w:shd w:fill="FFFFFF"/>
            <w:tcMar>
              <w:top w:w="65" w:type="dxa"/>
              <w:bottom w:w="65" w:type="dxa"/>
              <w:left w:w="100" w:type="dxa"/>
              <w:right w:w="100" w:type="dxa"/>
            </w:tcMar>
            <w:vAlign w:val="center"/>
          </w:tcPr>
          <w:p>
            <w:pPr>
              <w:spacing w:after="0"/>
              <w:jc w:val="right"/>
            </w:pPr>
            <w:r>
              <w:rPr>
                <w:rFonts w:ascii="Calibri" w:hAnsi="Calibri"/>
                <w:color w:val="2C3E50"/>
                <w:sz w:val="19"/>
              </w:rPr>
              <w:t>$48.65</w:t>
            </w:r>
          </w:p>
        </w:tc>
      </w:tr>
      <w:tr>
        <w:tc>
          <w:tcPr>
            <w:tcW w:type="dxa" w:w="2304"/>
            <w:shd w:fill="F8FAFC"/>
            <w:tcMar>
              <w:top w:w="65" w:type="dxa"/>
              <w:bottom w:w="65" w:type="dxa"/>
              <w:left w:w="100" w:type="dxa"/>
              <w:right w:w="100" w:type="dxa"/>
            </w:tcMar>
            <w:vAlign w:val="center"/>
          </w:tcPr>
          <w:p>
            <w:pPr>
              <w:spacing w:after="0"/>
              <w:jc w:val="left"/>
            </w:pPr>
            <w:r>
              <w:rPr>
                <w:rFonts w:ascii="Calibri" w:hAnsi="Calibri"/>
                <w:color w:val="2C3E50"/>
                <w:sz w:val="19"/>
              </w:rPr>
              <w:t>Standard Intra-City Trip</w:t>
            </w:r>
          </w:p>
        </w:tc>
        <w:tc>
          <w:tcPr>
            <w:tcW w:type="dxa" w:w="1296"/>
            <w:shd w:fill="F8FAFC"/>
            <w:tcMar>
              <w:top w:w="65" w:type="dxa"/>
              <w:bottom w:w="65" w:type="dxa"/>
              <w:left w:w="100" w:type="dxa"/>
              <w:right w:w="100" w:type="dxa"/>
            </w:tcMar>
            <w:vAlign w:val="center"/>
          </w:tcPr>
          <w:p>
            <w:pPr>
              <w:spacing w:after="0"/>
              <w:jc w:val="right"/>
            </w:pPr>
            <w:r>
              <w:rPr>
                <w:rFonts w:ascii="Calibri" w:hAnsi="Calibri"/>
                <w:color w:val="2C3E50"/>
                <w:sz w:val="19"/>
              </w:rPr>
              <w:t>5960</w:t>
            </w:r>
          </w:p>
        </w:tc>
        <w:tc>
          <w:tcPr>
            <w:tcW w:type="dxa" w:w="1440"/>
            <w:shd w:fill="F8FAFC"/>
            <w:tcMar>
              <w:top w:w="65" w:type="dxa"/>
              <w:bottom w:w="65" w:type="dxa"/>
              <w:left w:w="100" w:type="dxa"/>
              <w:right w:w="100" w:type="dxa"/>
            </w:tcMar>
            <w:vAlign w:val="center"/>
          </w:tcPr>
          <w:p>
            <w:pPr>
              <w:spacing w:after="0"/>
              <w:jc w:val="left"/>
            </w:pPr>
            <w:r>
              <w:rPr>
                <w:rFonts w:ascii="Calibri" w:hAnsi="Calibri"/>
                <w:color w:val="2C3E50"/>
                <w:sz w:val="19"/>
              </w:rPr>
              <w:t>2.37 miles</w:t>
            </w:r>
          </w:p>
        </w:tc>
        <w:tc>
          <w:tcPr>
            <w:tcW w:type="dxa" w:w="1440"/>
            <w:shd w:fill="F8FAFC"/>
            <w:tcMar>
              <w:top w:w="65" w:type="dxa"/>
              <w:bottom w:w="65" w:type="dxa"/>
              <w:left w:w="100" w:type="dxa"/>
              <w:right w:w="100" w:type="dxa"/>
            </w:tcMar>
            <w:vAlign w:val="center"/>
          </w:tcPr>
          <w:p>
            <w:pPr>
              <w:spacing w:after="0"/>
              <w:jc w:val="right"/>
            </w:pPr>
            <w:r>
              <w:rPr>
                <w:rFonts w:ascii="Calibri" w:hAnsi="Calibri"/>
                <w:color w:val="2C3E50"/>
                <w:sz w:val="19"/>
              </w:rPr>
              <w:t>$11.27</w:t>
            </w:r>
          </w:p>
        </w:tc>
        <w:tc>
          <w:tcPr>
            <w:tcW w:type="dxa" w:w="1440"/>
            <w:shd w:fill="F8FAFC"/>
            <w:tcMar>
              <w:top w:w="65" w:type="dxa"/>
              <w:bottom w:w="65" w:type="dxa"/>
              <w:left w:w="100" w:type="dxa"/>
              <w:right w:w="100" w:type="dxa"/>
            </w:tcMar>
            <w:vAlign w:val="center"/>
          </w:tcPr>
          <w:p>
            <w:pPr>
              <w:spacing w:after="0"/>
              <w:jc w:val="right"/>
            </w:pPr>
            <w:r>
              <w:rPr>
                <w:rFonts w:ascii="Calibri" w:hAnsi="Calibri"/>
                <w:color w:val="2C3E50"/>
                <w:sz w:val="19"/>
              </w:rPr>
              <w:t>$0.11</w:t>
            </w:r>
          </w:p>
        </w:tc>
        <w:tc>
          <w:tcPr>
            <w:tcW w:type="dxa" w:w="1440"/>
            <w:shd w:fill="F8FAFC"/>
            <w:tcMar>
              <w:top w:w="65" w:type="dxa"/>
              <w:bottom w:w="65" w:type="dxa"/>
              <w:left w:w="100" w:type="dxa"/>
              <w:right w:w="100" w:type="dxa"/>
            </w:tcMar>
            <w:vAlign w:val="center"/>
          </w:tcPr>
          <w:p>
            <w:pPr>
              <w:spacing w:after="0"/>
              <w:jc w:val="right"/>
            </w:pPr>
            <w:r>
              <w:rPr>
                <w:rFonts w:ascii="Calibri" w:hAnsi="Calibri"/>
                <w:color w:val="2C3E50"/>
                <w:sz w:val="19"/>
              </w:rPr>
              <w:t>$16.48</w:t>
            </w:r>
          </w:p>
        </w:tc>
      </w:tr>
      <w:tr>
        <w:tc>
          <w:tcPr>
            <w:tcW w:type="dxa" w:w="2304"/>
            <w:shd w:fill="FFFFFF"/>
            <w:tcMar>
              <w:top w:w="65" w:type="dxa"/>
              <w:bottom w:w="65" w:type="dxa"/>
              <w:left w:w="100" w:type="dxa"/>
              <w:right w:w="100" w:type="dxa"/>
            </w:tcMar>
            <w:vAlign w:val="center"/>
          </w:tcPr>
          <w:p>
            <w:pPr>
              <w:spacing w:after="0"/>
              <w:jc w:val="left"/>
            </w:pPr>
            <w:r>
              <w:rPr>
                <w:rFonts w:ascii="Calibri" w:hAnsi="Calibri"/>
                <w:color w:val="2C3E50"/>
                <w:sz w:val="19"/>
              </w:rPr>
              <w:t>Relative Expansion Factor</w:t>
            </w:r>
          </w:p>
        </w:tc>
        <w:tc>
          <w:tcPr>
            <w:tcW w:type="dxa" w:w="1296"/>
            <w:shd w:fill="FFFFFF"/>
            <w:tcMar>
              <w:top w:w="65" w:type="dxa"/>
              <w:bottom w:w="65" w:type="dxa"/>
              <w:left w:w="100" w:type="dxa"/>
              <w:right w:w="100" w:type="dxa"/>
            </w:tcMar>
            <w:vAlign w:val="center"/>
          </w:tcPr>
          <w:p>
            <w:pPr>
              <w:spacing w:after="0"/>
              <w:jc w:val="left"/>
            </w:pPr>
            <w:r>
              <w:rPr>
                <w:rFonts w:ascii="Calibri" w:hAnsi="Calibri"/>
                <w:color w:val="2C3E50"/>
                <w:sz w:val="19"/>
              </w:rPr>
              <w:t>—</w:t>
            </w:r>
          </w:p>
        </w:tc>
        <w:tc>
          <w:tcPr>
            <w:tcW w:type="dxa" w:w="1440"/>
            <w:shd w:fill="FFFFFF"/>
            <w:tcMar>
              <w:top w:w="65" w:type="dxa"/>
              <w:bottom w:w="65" w:type="dxa"/>
              <w:left w:w="100" w:type="dxa"/>
              <w:right w:w="100" w:type="dxa"/>
            </w:tcMar>
            <w:vAlign w:val="center"/>
          </w:tcPr>
          <w:p>
            <w:pPr>
              <w:spacing w:after="0"/>
              <w:jc w:val="right"/>
            </w:pPr>
            <w:r>
              <w:rPr>
                <w:rFonts w:ascii="Calibri" w:hAnsi="Calibri"/>
                <w:color w:val="2C3E50"/>
                <w:sz w:val="19"/>
              </w:rPr>
              <w:t>5.4x longer</w:t>
            </w:r>
          </w:p>
        </w:tc>
        <w:tc>
          <w:tcPr>
            <w:tcW w:type="dxa" w:w="1440"/>
            <w:shd w:fill="FFFFFF"/>
            <w:tcMar>
              <w:top w:w="65" w:type="dxa"/>
              <w:bottom w:w="65" w:type="dxa"/>
              <w:left w:w="100" w:type="dxa"/>
              <w:right w:w="100" w:type="dxa"/>
            </w:tcMar>
            <w:vAlign w:val="center"/>
          </w:tcPr>
          <w:p>
            <w:pPr>
              <w:spacing w:after="0"/>
              <w:jc w:val="right"/>
            </w:pPr>
            <w:r>
              <w:rPr>
                <w:rFonts w:ascii="Calibri" w:hAnsi="Calibri"/>
                <w:color w:val="2C3E50"/>
                <w:sz w:val="19"/>
              </w:rPr>
              <w:t>3.3x higher</w:t>
            </w:r>
          </w:p>
        </w:tc>
        <w:tc>
          <w:tcPr>
            <w:tcW w:type="dxa" w:w="1440"/>
            <w:shd w:fill="FFFFFF"/>
            <w:tcMar>
              <w:top w:w="65" w:type="dxa"/>
              <w:bottom w:w="65" w:type="dxa"/>
              <w:left w:w="100" w:type="dxa"/>
              <w:right w:w="100" w:type="dxa"/>
            </w:tcMar>
            <w:vAlign w:val="center"/>
          </w:tcPr>
          <w:p>
            <w:pPr>
              <w:spacing w:after="0"/>
              <w:jc w:val="right"/>
            </w:pPr>
            <w:r>
              <w:rPr>
                <w:rFonts w:ascii="Calibri" w:hAnsi="Calibri"/>
                <w:color w:val="2C3E50"/>
                <w:sz w:val="19"/>
              </w:rPr>
              <w:t>34.0x higher tolls</w:t>
            </w:r>
          </w:p>
        </w:tc>
        <w:tc>
          <w:tcPr>
            <w:tcW w:type="dxa" w:w="1440"/>
            <w:shd w:fill="FFFFFF"/>
            <w:tcMar>
              <w:top w:w="65" w:type="dxa"/>
              <w:bottom w:w="65" w:type="dxa"/>
              <w:left w:w="100" w:type="dxa"/>
              <w:right w:w="100" w:type="dxa"/>
            </w:tcMar>
            <w:vAlign w:val="center"/>
          </w:tcPr>
          <w:p>
            <w:pPr>
              <w:spacing w:after="0"/>
              <w:jc w:val="right"/>
            </w:pPr>
            <w:r>
              <w:rPr>
                <w:rFonts w:ascii="Calibri" w:hAnsi="Calibri"/>
                <w:color w:val="2C3E50"/>
                <w:sz w:val="19"/>
              </w:rPr>
              <w:t>3.0x higher total expenditure</w:t>
            </w:r>
          </w:p>
        </w:tc>
      </w:tr>
    </w:tbl>
    <w:p>
      <w:pPr>
        <w:spacing w:after="120"/>
      </w:pPr>
    </w:p>
    <w:p>
      <w:pPr>
        <w:keepNext/>
        <w:spacing w:before="440" w:after="160"/>
      </w:pPr>
      <w:r>
        <w:rPr>
          <w:rFonts w:ascii="Arial" w:hAnsi="Arial"/>
          <w:b/>
          <w:color w:val="0F2942"/>
          <w:sz w:val="33"/>
        </w:rPr>
        <w:t>8. Empirical Tariff Trajectory &amp; Non-Linear Fare Elasticity</w:t>
      </w:r>
    </w:p>
    <w:p>
      <w:pPr>
        <w:spacing w:after="120" w:line="276" w:lineRule="auto"/>
      </w:pPr>
      <w:r>
        <w:rPr>
          <w:rFonts w:ascii="Calibri" w:hAnsi="Calibri"/>
          <w:color w:val="2C3E50"/>
          <w:sz w:val="22"/>
        </w:rPr>
        <w:t>How does metered fare scale with trip distance in the presence of urban congestion? Figure 7 displays the empirical pricing trajectory using two complementary visual methodologies: (A) A high-resolution bivariate hexbin density plot illustrating data concentration, and (B) A regression plot capturing metered pricing elasticity and confidence intervals.</w:t>
      </w:r>
    </w:p>
    <w:p>
      <w:pPr>
        <w:keepNext/>
        <w:spacing w:before="240" w:after="80"/>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eda_fig7_distance_fare_trajectory.png"/>
                    <pic:cNvPicPr/>
                  </pic:nvPicPr>
                  <pic:blipFill>
                    <a:blip r:embed="rId15"/>
                    <a:stretch>
                      <a:fillRect/>
                    </a:stretch>
                  </pic:blipFill>
                  <pic:spPr>
                    <a:xfrm>
                      <a:off x="0" y="0"/>
                      <a:ext cx="5486400" cy="2286000"/>
                    </a:xfrm>
                    <a:prstGeom prst="rect"/>
                  </pic:spPr>
                </pic:pic>
              </a:graphicData>
            </a:graphic>
          </wp:inline>
        </w:drawing>
      </w:r>
    </w:p>
    <w:p>
      <w:pPr>
        <w:spacing w:after="240"/>
        <w:jc w:val="center"/>
      </w:pPr>
      <w:r>
        <w:rPr>
          <w:rFonts w:ascii="Arial" w:hAnsi="Arial"/>
          <w:b/>
          <w:i/>
          <w:color w:val="1F5F8B"/>
          <w:sz w:val="19"/>
        </w:rPr>
        <w:t>Figure 7: Empirical Pricing Trajectory: Bivariate Hexbin Density and Linear Tariff Elasticity</w:t>
      </w:r>
    </w:p>
    <w:p>
      <w:pPr>
        <w:keepNext/>
        <w:spacing w:before="280" w:after="100"/>
      </w:pPr>
      <w:r>
        <w:rPr>
          <w:rFonts w:ascii="Arial" w:hAnsi="Arial"/>
          <w:b/>
          <w:color w:val="1F5F8B"/>
          <w:sz w:val="26"/>
        </w:rPr>
        <w:t>8.1 Analytical Insights on Fare Trajectory</w:t>
      </w:r>
    </w:p>
    <w:p>
      <w:pPr>
        <w:spacing w:after="120" w:line="276" w:lineRule="auto"/>
      </w:pPr>
      <w:r>
        <w:rPr>
          <w:rFonts w:ascii="Calibri" w:hAnsi="Calibri"/>
          <w:color w:val="2C3E50"/>
          <w:sz w:val="22"/>
        </w:rPr>
        <w:t>The hexbin plot (Figure 7A) reveals an intense point concentration between 0.5 and 2.5 miles with fares between $5.00 and $12.00. This represents the core operational heartbeat of NYC medallion taxis. In Figure 7B, the regression line exhibits an empirical slope of approximately $2.65 per mile, which closely tracks the theoretical TLC formula ($2.50 base flag-drop + $0.50 per 1/5 mile = $2.50/mile, plus time-based slow traffic increments). The vertical dispersion around the regression line visually captures congestion variance: a 2-mile trip in free-flow traffic costs $8.50, whereas the exact same 2-mile trip during gridlock escalates to $18.00 due to accumulated time-charge increments ($0.50 per 60 seconds).</w:t>
      </w:r>
    </w:p>
    <w:p>
      <w:pPr>
        <w:keepNext/>
        <w:spacing w:before="440" w:after="160"/>
      </w:pPr>
      <w:r>
        <w:rPr>
          <w:rFonts w:ascii="Arial" w:hAnsi="Arial"/>
          <w:b/>
          <w:color w:val="0F2942"/>
          <w:sz w:val="33"/>
        </w:rPr>
        <w:t>9. Multi-Dimensional Spatial-Temporal Interactions</w:t>
      </w:r>
    </w:p>
    <w:p>
      <w:pPr>
        <w:spacing w:after="120" w:line="276" w:lineRule="auto"/>
      </w:pPr>
      <w:r>
        <w:rPr>
          <w:rFonts w:ascii="Calibri" w:hAnsi="Calibri"/>
          <w:color w:val="2C3E50"/>
          <w:sz w:val="22"/>
        </w:rPr>
        <w:t>To uncover how spatial geography and temporal congestion interact simultaneously, we conducted a multi-panel faceted analysis. Figure 8 disaggregates the distance-fare relationship across the three primary pickup boroughs (Manhattan, Queens, Brooklyn) stratified by Peak Rush Hour (red) versus Off-Peak (blue) commute periods.</w:t>
      </w:r>
    </w:p>
    <w:p>
      <w:pPr>
        <w:keepNext/>
        <w:spacing w:before="240" w:after="80"/>
        <w:jc w:val="center"/>
      </w:pPr>
      <w:r>
        <w:drawing>
          <wp:inline xmlns:a="http://schemas.openxmlformats.org/drawingml/2006/main" xmlns:pic="http://schemas.openxmlformats.org/drawingml/2006/picture">
            <wp:extent cx="5486400" cy="2627239"/>
            <wp:docPr id="8" name="Picture 8"/>
            <wp:cNvGraphicFramePr>
              <a:graphicFrameLocks noChangeAspect="1"/>
            </wp:cNvGraphicFramePr>
            <a:graphic>
              <a:graphicData uri="http://schemas.openxmlformats.org/drawingml/2006/picture">
                <pic:pic>
                  <pic:nvPicPr>
                    <pic:cNvPr id="0" name="eda_fig8_faceted_borough_rush_hour.png"/>
                    <pic:cNvPicPr/>
                  </pic:nvPicPr>
                  <pic:blipFill>
                    <a:blip r:embed="rId16"/>
                    <a:stretch>
                      <a:fillRect/>
                    </a:stretch>
                  </pic:blipFill>
                  <pic:spPr>
                    <a:xfrm>
                      <a:off x="0" y="0"/>
                      <a:ext cx="5486400" cy="2627239"/>
                    </a:xfrm>
                    <a:prstGeom prst="rect"/>
                  </pic:spPr>
                </pic:pic>
              </a:graphicData>
            </a:graphic>
          </wp:inline>
        </w:drawing>
      </w:r>
    </w:p>
    <w:p>
      <w:pPr>
        <w:spacing w:after="240"/>
        <w:jc w:val="center"/>
      </w:pPr>
      <w:r>
        <w:rPr>
          <w:rFonts w:ascii="Arial" w:hAnsi="Arial"/>
          <w:b/>
          <w:i/>
          <w:color w:val="1F5F8B"/>
          <w:sz w:val="19"/>
        </w:rPr>
        <w:t>Figure 8: Faceted Spatial-Temporal Interaction: Distance vs. Fare by Origin Borough and Commute Status</w:t>
      </w:r>
    </w:p>
    <w:p>
      <w:pPr>
        <w:keepNext/>
        <w:spacing w:before="280" w:after="100"/>
      </w:pPr>
      <w:r>
        <w:rPr>
          <w:rFonts w:ascii="Arial" w:hAnsi="Arial"/>
          <w:b/>
          <w:color w:val="1F5F8B"/>
          <w:sz w:val="26"/>
        </w:rPr>
        <w:t>9.1 Faceted Interaction Observations</w:t>
      </w:r>
    </w:p>
    <w:p>
      <w:pPr>
        <w:pStyle w:val="ListBullet"/>
        <w:spacing w:after="80" w:line="276" w:lineRule="auto"/>
      </w:pPr>
      <w:r>
        <w:rPr>
          <w:rFonts w:ascii="Calibri" w:hAnsi="Calibri"/>
          <w:b/>
          <w:color w:val="2C3E50"/>
          <w:sz w:val="22"/>
        </w:rPr>
        <w:t xml:space="preserve">• Manhattan: </w:t>
      </w:r>
      <w:r>
        <w:rPr>
          <w:rFonts w:ascii="Calibri" w:hAnsi="Calibri"/>
          <w:color w:val="2C3E50"/>
          <w:sz w:val="22"/>
        </w:rPr>
        <w:t>Manhattan Congestion Overhead: In Manhattan (left panels), the fare distribution for short distances (&lt; 3 miles) shifts noticeably upward during peak rush hours, reflecting the statutory $1.00 weekday rush hour surcharge and prolonged street gridlock.</w:t>
      </w:r>
    </w:p>
    <w:p>
      <w:pPr>
        <w:pStyle w:val="ListBullet"/>
        <w:spacing w:after="80" w:line="276" w:lineRule="auto"/>
      </w:pPr>
      <w:r>
        <w:rPr>
          <w:rFonts w:ascii="Calibri" w:hAnsi="Calibri"/>
          <w:b/>
          <w:color w:val="2C3E50"/>
          <w:sz w:val="22"/>
        </w:rPr>
        <w:t xml:space="preserve">• Queens: </w:t>
      </w:r>
      <w:r>
        <w:rPr>
          <w:rFonts w:ascii="Calibri" w:hAnsi="Calibri"/>
          <w:color w:val="2C3E50"/>
          <w:sz w:val="22"/>
        </w:rPr>
        <w:t>Queens Dual-Cluster Topology: In Queens (center panels), observations cleave into two distinct clusters: (1) short local trips (&lt; 4 miles), and (2) long highway airport corridors (10 to 18 miles) reaching flat-rate thresholds ($52.00).</w:t>
      </w:r>
    </w:p>
    <w:p>
      <w:pPr>
        <w:pStyle w:val="ListBullet"/>
        <w:spacing w:after="80" w:line="276" w:lineRule="auto"/>
      </w:pPr>
      <w:r>
        <w:rPr>
          <w:rFonts w:ascii="Calibri" w:hAnsi="Calibri"/>
          <w:b/>
          <w:color w:val="2C3E50"/>
          <w:sz w:val="22"/>
        </w:rPr>
        <w:t xml:space="preserve">• Brooklyn: </w:t>
      </w:r>
      <w:r>
        <w:rPr>
          <w:rFonts w:ascii="Calibri" w:hAnsi="Calibri"/>
          <w:color w:val="2C3E50"/>
          <w:sz w:val="22"/>
        </w:rPr>
        <w:t>Brooklyn Intermediate Spread: Brooklyn (right panels) demonstrates an intermediate dispersion, with cross-borough bridge trips spanning 4 to 8 miles with minimal flat-rate clustering.</w:t>
      </w:r>
    </w:p>
    <w:p>
      <w:pPr>
        <w:keepNext/>
        <w:spacing w:before="440" w:after="160"/>
      </w:pPr>
      <w:r>
        <w:rPr>
          <w:rFonts w:ascii="Arial" w:hAnsi="Arial"/>
          <w:b/>
          <w:color w:val="0F2942"/>
          <w:sz w:val="33"/>
        </w:rPr>
        <w:t>10. Hierarchically Clustered Correlation Topology &amp; Multi-Collinearity</w:t>
      </w:r>
    </w:p>
    <w:p>
      <w:pPr>
        <w:spacing w:after="120" w:line="276" w:lineRule="auto"/>
      </w:pPr>
      <w:r>
        <w:rPr>
          <w:rFonts w:ascii="Calibri" w:hAnsi="Calibri"/>
          <w:color w:val="2C3E50"/>
          <w:sz w:val="22"/>
        </w:rPr>
        <w:t>To understand the structural multi-collinearity and mutual information shared across engineered features, we computed a complete Pearson correlation matrix and subjected it to unsupervised hierarchical clustering with a complete-linkage dendrogram (Figure 9).</w:t>
      </w:r>
    </w:p>
    <w:p>
      <w:pPr>
        <w:keepNext/>
        <w:spacing w:before="240" w:after="80"/>
        <w:jc w:val="center"/>
      </w:pPr>
      <w:r>
        <w:drawing>
          <wp:inline xmlns:a="http://schemas.openxmlformats.org/drawingml/2006/main" xmlns:pic="http://schemas.openxmlformats.org/drawingml/2006/picture">
            <wp:extent cx="5486400" cy="4512711"/>
            <wp:docPr id="9" name="Picture 9"/>
            <wp:cNvGraphicFramePr>
              <a:graphicFrameLocks noChangeAspect="1"/>
            </wp:cNvGraphicFramePr>
            <a:graphic>
              <a:graphicData uri="http://schemas.openxmlformats.org/drawingml/2006/picture">
                <pic:pic>
                  <pic:nvPicPr>
                    <pic:cNvPr id="0" name="eda_fig9_clustered_correlation_heatmap.png"/>
                    <pic:cNvPicPr/>
                  </pic:nvPicPr>
                  <pic:blipFill>
                    <a:blip r:embed="rId17"/>
                    <a:stretch>
                      <a:fillRect/>
                    </a:stretch>
                  </pic:blipFill>
                  <pic:spPr>
                    <a:xfrm>
                      <a:off x="0" y="0"/>
                      <a:ext cx="5486400" cy="4512711"/>
                    </a:xfrm>
                    <a:prstGeom prst="rect"/>
                  </pic:spPr>
                </pic:pic>
              </a:graphicData>
            </a:graphic>
          </wp:inline>
        </w:drawing>
      </w:r>
    </w:p>
    <w:p>
      <w:pPr>
        <w:spacing w:after="240"/>
        <w:jc w:val="center"/>
      </w:pPr>
      <w:r>
        <w:rPr>
          <w:rFonts w:ascii="Arial" w:hAnsi="Arial"/>
          <w:b/>
          <w:i/>
          <w:color w:val="1F5F8B"/>
          <w:sz w:val="19"/>
        </w:rPr>
        <w:t>Figure 9: Hierarchically Clustered Correlation Heatmap with Linkage Dendrogram</w:t>
      </w:r>
    </w:p>
    <w:p>
      <w:pPr>
        <w:keepNext/>
        <w:spacing w:before="280" w:after="100"/>
      </w:pPr>
      <w:r>
        <w:rPr>
          <w:rFonts w:ascii="Arial" w:hAnsi="Arial"/>
          <w:b/>
          <w:color w:val="1F5F8B"/>
          <w:sz w:val="26"/>
        </w:rPr>
        <w:t>10.1 Structural Clusters &amp; Feature Redundancy</w:t>
      </w:r>
    </w:p>
    <w:p>
      <w:pPr>
        <w:spacing w:after="120" w:line="276" w:lineRule="auto"/>
      </w:pPr>
      <w:r>
        <w:rPr>
          <w:rFonts w:ascii="Calibri" w:hAnsi="Calibri"/>
          <w:color w:val="2C3E50"/>
          <w:sz w:val="22"/>
        </w:rPr>
        <w:t>The hierarchical dendrogram automatically partitions the features into three distinct operational clusters:</w:t>
      </w:r>
    </w:p>
    <w:p>
      <w:pPr>
        <w:pStyle w:val="ListBullet"/>
        <w:spacing w:after="80" w:line="276" w:lineRule="auto"/>
      </w:pPr>
      <w:r>
        <w:rPr>
          <w:rFonts w:ascii="Calibri" w:hAnsi="Calibri"/>
          <w:b/>
          <w:color w:val="2C3E50"/>
          <w:sz w:val="22"/>
        </w:rPr>
        <w:t xml:space="preserve">1. Core Economic Block: </w:t>
      </w:r>
      <w:r>
        <w:rPr>
          <w:rFonts w:ascii="Calibri" w:hAnsi="Calibri"/>
          <w:color w:val="2C3E50"/>
          <w:sz w:val="22"/>
        </w:rPr>
        <w:t>Cluster 1: Macro-Financial Drivers (`total`, `fare_capped`, `distance_capped`, `duration_capped`, `tolls`). These features exhibit mutual Pearson correlations between r = 0.85 and r = 0.98. Total fare is almost entirely determined by the linear linear combination of distance, duration, and metered base fare.</w:t>
      </w:r>
    </w:p>
    <w:p>
      <w:pPr>
        <w:pStyle w:val="ListBullet"/>
        <w:spacing w:after="80" w:line="276" w:lineRule="auto"/>
      </w:pPr>
      <w:r>
        <w:rPr>
          <w:rFonts w:ascii="Calibri" w:hAnsi="Calibri"/>
          <w:b/>
          <w:color w:val="2C3E50"/>
          <w:sz w:val="22"/>
        </w:rPr>
        <w:t xml:space="preserve">2. Kinematic Efficiency Block: </w:t>
      </w:r>
      <w:r>
        <w:rPr>
          <w:rFonts w:ascii="Calibri" w:hAnsi="Calibri"/>
          <w:color w:val="2C3E50"/>
          <w:sz w:val="22"/>
        </w:rPr>
        <w:t>Cluster 2: Unit Operational Velocity (`speed_mph`, `fare_per_minute`). These kinematic indicators cluster together and exhibit negative correlations with duration and short congested hops.</w:t>
      </w:r>
    </w:p>
    <w:p>
      <w:pPr>
        <w:pStyle w:val="ListBullet"/>
        <w:spacing w:after="80" w:line="276" w:lineRule="auto"/>
      </w:pPr>
      <w:r>
        <w:rPr>
          <w:rFonts w:ascii="Calibri" w:hAnsi="Calibri"/>
          <w:b/>
          <w:color w:val="2C3E50"/>
          <w:sz w:val="22"/>
        </w:rPr>
        <w:t xml:space="preserve">3. Gratuity Decoupling: </w:t>
      </w:r>
      <w:r>
        <w:rPr>
          <w:rFonts w:ascii="Calibri" w:hAnsi="Calibri"/>
          <w:color w:val="2C3E50"/>
          <w:sz w:val="22"/>
        </w:rPr>
        <w:t>Cluster 3: Discretionary Gratuity (`tip_capped`). Tip amount forms an independent leaf node that exhibits moderate positive correlation with total fare (r = 0.68) but low correlation with vehicle speed (r = -0.05), proving that passenger tipping decisions are driven by total ticket size rather than trip speed.</w:t>
      </w:r>
    </w:p>
    <w:p>
      <w:pPr>
        <w:keepNext/>
        <w:spacing w:before="440" w:after="160"/>
      </w:pPr>
      <w:r>
        <w:rPr>
          <w:rFonts w:ascii="Arial" w:hAnsi="Arial"/>
          <w:b/>
          <w:color w:val="0F2942"/>
          <w:sz w:val="33"/>
        </w:rPr>
        <w:t>11. Socio-Demographic Travel Patterns: Solo Commuters vs. Group Mobility</w:t>
      </w:r>
    </w:p>
    <w:p>
      <w:pPr>
        <w:spacing w:after="120" w:line="276" w:lineRule="auto"/>
      </w:pPr>
      <w:r>
        <w:rPr>
          <w:rFonts w:ascii="Calibri" w:hAnsi="Calibri"/>
          <w:color w:val="2C3E50"/>
          <w:sz w:val="22"/>
        </w:rPr>
        <w:t>Vehicle occupancy is a central metric for urban transportation planning, micro-mobility policy, and emissions reduction. Figure 10 analyzes passenger party sizes across frequency, mean trip distance, and financial cost.</w:t>
      </w:r>
    </w:p>
    <w:p>
      <w:pPr>
        <w:keepNext/>
        <w:spacing w:before="240" w:after="80"/>
        <w:jc w:val="center"/>
      </w:pPr>
      <w:r>
        <w:drawing>
          <wp:inline xmlns:a="http://schemas.openxmlformats.org/drawingml/2006/main" xmlns:pic="http://schemas.openxmlformats.org/drawingml/2006/picture">
            <wp:extent cx="5486400" cy="2286000"/>
            <wp:docPr id="10" name="Picture 10"/>
            <wp:cNvGraphicFramePr>
              <a:graphicFrameLocks noChangeAspect="1"/>
            </wp:cNvGraphicFramePr>
            <a:graphic>
              <a:graphicData uri="http://schemas.openxmlformats.org/drawingml/2006/picture">
                <pic:pic>
                  <pic:nvPicPr>
                    <pic:cNvPr id="0" name="eda_fig10_passenger_party_size_dynamics.png"/>
                    <pic:cNvPicPr/>
                  </pic:nvPicPr>
                  <pic:blipFill>
                    <a:blip r:embed="rId18"/>
                    <a:stretch>
                      <a:fillRect/>
                    </a:stretch>
                  </pic:blipFill>
                  <pic:spPr>
                    <a:xfrm>
                      <a:off x="0" y="0"/>
                      <a:ext cx="5486400" cy="2286000"/>
                    </a:xfrm>
                    <a:prstGeom prst="rect"/>
                  </pic:spPr>
                </pic:pic>
              </a:graphicData>
            </a:graphic>
          </wp:inline>
        </w:drawing>
      </w:r>
    </w:p>
    <w:p>
      <w:pPr>
        <w:spacing w:after="240"/>
        <w:jc w:val="center"/>
      </w:pPr>
      <w:r>
        <w:rPr>
          <w:rFonts w:ascii="Arial" w:hAnsi="Arial"/>
          <w:b/>
          <w:i/>
          <w:color w:val="1F5F8B"/>
          <w:sz w:val="19"/>
        </w:rPr>
        <w:t>Figure 10: Socio-Demographic Travel Patterns: Solo Commuters vs. Group Shared Transit</w:t>
      </w:r>
    </w:p>
    <w:p>
      <w:pPr>
        <w:keepNext/>
        <w:spacing w:before="280" w:after="100"/>
      </w:pPr>
      <w:r>
        <w:rPr>
          <w:rFonts w:ascii="Arial" w:hAnsi="Arial"/>
          <w:b/>
          <w:color w:val="1F5F8B"/>
          <w:sz w:val="26"/>
        </w:rPr>
        <w:t>11.1 Occupancy &amp; Travel Behavior</w:t>
      </w:r>
    </w:p>
    <w:p>
      <w:pPr>
        <w:spacing w:after="120" w:line="276" w:lineRule="auto"/>
      </w:pPr>
      <w:r>
        <w:rPr>
          <w:rFonts w:ascii="Calibri" w:hAnsi="Calibri"/>
          <w:color w:val="2C3E50"/>
          <w:sz w:val="22"/>
        </w:rPr>
        <w:t>As depicted in Figure 10A, an overwhelming 74.1% of all taxi rides carry exactly 1 passenger! Parties of 2 account for 15.2%, while large parties (5 to 6 passengers in multi-row SUV or minivan cabs) represent only 6.1% of rides. Figure 10B reveals that while solo commuters dominate volume, larger parties of 5 and 6 passengers undertake longer average distances (3.4 miles vs. 2.9 miles) and generate higher mean fares ($14.80 vs. $12.60). Large parties primarily reflect tourist groups, families traveling to leisure destinations, and airport travelers sharing a high-capacity vehicle.</w:t>
      </w:r>
    </w:p>
    <w:p>
      <w:pPr>
        <w:keepNext/>
        <w:spacing w:before="440" w:after="160"/>
      </w:pPr>
      <w:r>
        <w:rPr>
          <w:rFonts w:ascii="Arial" w:hAnsi="Arial"/>
          <w:b/>
          <w:color w:val="0F2942"/>
          <w:sz w:val="33"/>
        </w:rPr>
        <w:t>12. Strategic Urban Planning Insights &amp; Operational Recommendations</w:t>
      </w:r>
    </w:p>
    <w:p>
      <w:pPr>
        <w:spacing w:after="120" w:line="276" w:lineRule="auto"/>
      </w:pPr>
      <w:r>
        <w:rPr>
          <w:rFonts w:ascii="Calibri" w:hAnsi="Calibri"/>
          <w:color w:val="2C3E50"/>
          <w:sz w:val="22"/>
        </w:rPr>
        <w:t>The empirical discoveries documented throughout this exploratory analysis provide actionable intelligence for urban mobility planners, municipal regulators (NYC TLC), and taxi fleet dispatch operators:</w:t>
      </w:r>
    </w:p>
    <w:p>
      <w:pPr>
        <w:pStyle w:val="ListBullet"/>
        <w:spacing w:after="80" w:line="276" w:lineRule="auto"/>
      </w:pPr>
      <w:r>
        <w:rPr>
          <w:rFonts w:ascii="Calibri" w:hAnsi="Calibri"/>
          <w:b/>
          <w:color w:val="2C3E50"/>
          <w:sz w:val="22"/>
        </w:rPr>
        <w:t xml:space="preserve">1. Velocity-Indexed Surcharges: </w:t>
      </w:r>
      <w:r>
        <w:rPr>
          <w:rFonts w:ascii="Calibri" w:hAnsi="Calibri"/>
          <w:color w:val="2C3E50"/>
          <w:sz w:val="22"/>
        </w:rPr>
        <w:t>Dynamic Congestion Pricing Refinement: Our kinematic analysis proved that traffic speeds drop to 8.9 mph in Midtown Manhattan during morning rush hours. Dynamic congestion surcharges should be calibrated directly to real-time average velocity thresholds rather than static time blocks, incentivizing off-peak freight and passenger transit.</w:t>
      </w:r>
    </w:p>
    <w:p>
      <w:pPr>
        <w:pStyle w:val="ListBullet"/>
        <w:spacing w:after="80" w:line="276" w:lineRule="auto"/>
      </w:pPr>
      <w:r>
        <w:rPr>
          <w:rFonts w:ascii="Calibri" w:hAnsi="Calibri"/>
          <w:b/>
          <w:color w:val="2C3E50"/>
          <w:sz w:val="22"/>
        </w:rPr>
        <w:t xml:space="preserve">2. Virtual Airport Queueing: </w:t>
      </w:r>
      <w:r>
        <w:rPr>
          <w:rFonts w:ascii="Calibri" w:hAnsi="Calibri"/>
          <w:color w:val="2C3E50"/>
          <w:sz w:val="22"/>
        </w:rPr>
        <w:t>Airport Queue Optimization: Given that airport runs generate 3.0x higher total revenue ($48.65 vs. $16.48), driver deadheading and queue saturation at JFK can be mitigated by introducing algorithmic return-trip dispatch guarantees, reducing empty vehicle miles traveled (VMT).</w:t>
      </w:r>
    </w:p>
    <w:p>
      <w:pPr>
        <w:pStyle w:val="ListBullet"/>
        <w:spacing w:after="80" w:line="276" w:lineRule="auto"/>
      </w:pPr>
      <w:r>
        <w:rPr>
          <w:rFonts w:ascii="Calibri" w:hAnsi="Calibri"/>
          <w:b/>
          <w:color w:val="2C3E50"/>
          <w:sz w:val="22"/>
        </w:rPr>
        <w:t xml:space="preserve">3. Outer-Borough Multi-Modal Integration: </w:t>
      </w:r>
      <w:r>
        <w:rPr>
          <w:rFonts w:ascii="Calibri" w:hAnsi="Calibri"/>
          <w:color w:val="2C3E50"/>
          <w:sz w:val="22"/>
        </w:rPr>
        <w:t>Outer-Borough Green Cab Repositioning: Green Boro Cabs suffer from longer durations and lower unit revenue density ($5.64/mi vs $5.94/mi). Municipal incentives should encourage Green Cab deployment around regional transit hubs (e.g., Jamaica Station, Atlantic Terminal) to serve first-mile/last-mile transit deserts.</w:t>
      </w:r>
    </w:p>
    <w:p>
      <w:pPr>
        <w:keepNext/>
        <w:spacing w:before="440" w:after="160"/>
      </w:pPr>
      <w:r>
        <w:rPr>
          <w:rFonts w:ascii="Arial" w:hAnsi="Arial"/>
          <w:b/>
          <w:color w:val="0F2942"/>
          <w:sz w:val="33"/>
        </w:rPr>
        <w:t>13. Complete Reproducible Python EDA Pipeline Appendix</w:t>
      </w:r>
    </w:p>
    <w:p>
      <w:pPr>
        <w:spacing w:after="120" w:line="276" w:lineRule="auto"/>
      </w:pPr>
      <w:r>
        <w:rPr>
          <w:rFonts w:ascii="Calibri" w:hAnsi="Calibri"/>
          <w:color w:val="2C3E50"/>
          <w:sz w:val="22"/>
        </w:rPr>
        <w:t>The modular Python script below was executed to compute all statistical aggregations, hypothesis tests, and publication-grade visualizations presented throughout this report.</w:t>
      </w:r>
    </w:p>
    <w:p>
      <w:pPr>
        <w:keepNext/>
        <w:spacing w:before="160" w:after="60"/>
      </w:pPr>
      <w:r>
        <w:rPr>
          <w:rFonts w:ascii="Arial" w:hAnsi="Arial"/>
          <w:b/>
          <w:color w:val="1F5F8B"/>
          <w:sz w:val="19"/>
        </w:rPr>
        <w:t>Code Snippet: Consolidated Exploratory Analysis Code Listing</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30" w:type="dxa"/>
              <w:right w:w="130" w:type="dxa"/>
            </w:tcMar>
            <w:tcBorders>
              <w:left w:val="single" w:sz="18" w:space="0" w:color="1F5F8B"/>
              <w:top w:val="single" w:sz="4" w:space="0" w:color="CBD5E1"/>
              <w:right w:val="single" w:sz="4" w:space="0" w:color="CBD5E1"/>
              <w:bottom w:val="single" w:sz="4" w:space="0" w:color="CBD5E1"/>
            </w:tcBorders>
          </w:tcPr>
          <w:p>
            <w:pPr>
              <w:spacing w:after="0" w:line="252" w:lineRule="auto"/>
            </w:pPr>
            <w:r>
              <w:rPr>
                <w:rFonts w:ascii="Consolas" w:hAnsi="Consolas"/>
                <w:color w:val="1E293B"/>
                <w:sz w:val="17"/>
              </w:rPr>
              <w:t>'''</w:t>
              <w:br/>
              <w:t>Consolidated Python Script for Week 2 Exploratory Data Analysis &amp; Visualization</w:t>
              <w:br/>
              <w:t>Libraries: pandas, seaborn, matplotlib, scipy</w:t>
              <w:br/>
              <w:t>'''</w:t>
              <w:br/>
              <w:t>import pandas as pd, numpy as np, seaborn as sns, matplotlib.pyplot as plt</w:t>
              <w:br/>
              <w:t>from scipy import stats</w:t>
              <w:br/>
              <w:br/>
              <w:t># Load cleaned dataset</w:t>
              <w:br/>
              <w:t>df = pd.read_csv('cleaned_taxis_data.csv')</w:t>
              <w:br/>
              <w:t>df['speed_mph'] = df['distance_capped'] / (np.maximum(df['duration_capped'], 0.1) / 60.0)</w:t>
              <w:br/>
              <w:br/>
              <w:t># 1. Welch's T-Test: Rush Hour vs Off-Peak Speed</w:t>
              <w:br/>
              <w:t>rush = df[df['is_rush_hour'] == 1]['speed_mph']</w:t>
              <w:br/>
              <w:t>off = df[df['is_rush_hour'] == 0]['speed_mph']</w:t>
              <w:br/>
              <w:t>t_val, p_val = stats.ttest_ind(rush, off, equal_var=False)</w:t>
              <w:br/>
              <w:t>print(f'Speed T-Test: t={t_val:.3f}, p={p_val:.4e}')</w:t>
              <w:br/>
              <w:br/>
              <w:t># 2. Kruskal-Wallis: Tip % by Party Size on Credit Cards</w:t>
              <w:br/>
              <w:t>df_cr = df[df['payment'] == 'credit card'].copy()</w:t>
              <w:br/>
              <w:t>df_cr['tip_pct'] = (df_cr['tip_capped'] / np.maximum(df_cr['fare_capped'], 2.5)) * 100</w:t>
              <w:br/>
              <w:t>groups = [g['tip_pct'].values for _, g in df_cr.groupby('passengers') if len(g) &gt; 30]</w:t>
              <w:br/>
              <w:t>h_stat, p_kw = stats.kruskal(*groups)</w:t>
              <w:br/>
              <w:t>print(f'Tip Kruskal-Wallis: H={h_stat:.3f}, p={p_kw:.4e}')</w:t>
              <w:br/>
              <w:br/>
              <w:t># 3. Origin-Destination Transition Matrix</w:t>
              <w:br/>
              <w:t>od_matrix = pd.crosstab(df['pickup_borough'], df['dropoff_borough'], normalize='index') * 100</w:t>
              <w:br/>
              <w:t>print(od_matrix.round(1))</w:t>
              <w:br/>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