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Arial" w:hAnsi="Arial"/>
          <w:b/>
          <w:color w:val="1B365D"/>
          <w:sz w:val="44"/>
        </w:rPr>
        <w:t>COMPREHENSIVE DATA QUALITY AUDITING, CLEANING, AND PREPROCESSING OF NYC URBAN MOBILITY DATA</w:t>
      </w:r>
    </w:p>
    <w:p>
      <w:pPr>
        <w:spacing w:after="480"/>
      </w:pPr>
      <w:r>
        <w:rPr>
          <w:rFonts w:ascii="Calibri" w:hAnsi="Calibri"/>
          <w:color w:val="336699"/>
          <w:sz w:val="26"/>
        </w:rPr>
        <w:t>An End-to-End Applied Engineering Methodology: Rubin Missingness Taxonomy, Domain-Censored Tip Analysis, Kinematic Anomaly Filtering, Multivariate Isolation Forest Diagnostics, and Downstream Machine Learning Benchmarking</w:t>
      </w:r>
    </w:p>
    <w:tbl>
      <w:tblPr>
        <w:tblW w:type="auto" w:w="0"/>
        <w:jc w:val="center"/>
        <w:tblLook w:firstColumn="1" w:firstRow="1" w:lastColumn="0" w:lastRow="0" w:noHBand="0" w:noVBand="1" w:val="04A0"/>
      </w:tblPr>
      <w:tblGrid>
        <w:gridCol w:w="9360"/>
      </w:tblGrid>
      <w:tr>
        <w:trPr>
          <w:trHeight w:val="80"/>
        </w:trPr>
        <w:tc>
          <w:tcPr>
            <w:tcW w:type="dxa" w:w="9360"/>
            <w:shd w:fill="1B365D"/>
          </w:tcPr>
          <w:p/>
        </w:tc>
      </w:tr>
    </w:tbl>
    <w:p>
      <w:pPr>
        <w:spacing w:after="480"/>
      </w:pP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4680"/>
        <w:gridCol w:w="4680"/>
      </w:tblGrid>
      <w:tr>
        <w:tc>
          <w:tcPr>
            <w:tcW w:type="dxa" w:w="3168"/>
            <w:shd w:fill="F1F5F9"/>
            <w:tcMar>
              <w:top w:w="60" w:type="dxa"/>
              <w:bottom w:w="60" w:type="dxa"/>
              <w:left w:w="100" w:type="dxa"/>
              <w:right w:w="100" w:type="dxa"/>
            </w:tcMar>
          </w:tcPr>
          <w:p>
            <w:pPr>
              <w:spacing w:after="0"/>
            </w:pPr>
            <w:r>
              <w:rPr>
                <w:rFonts w:ascii="Arial" w:hAnsi="Arial"/>
                <w:b/>
                <w:color w:val="1B365D"/>
                <w:sz w:val="20"/>
              </w:rPr>
              <w:t>Project Objective:</w:t>
            </w:r>
          </w:p>
        </w:tc>
        <w:tc>
          <w:tcPr>
            <w:tcW w:type="dxa" w:w="6192"/>
            <w:shd w:fill="FFFFFF"/>
            <w:tcMar>
              <w:top w:w="60" w:type="dxa"/>
              <w:bottom w:w="60" w:type="dxa"/>
              <w:left w:w="100" w:type="dxa"/>
              <w:right w:w="100" w:type="dxa"/>
            </w:tcMar>
          </w:tcPr>
          <w:p>
            <w:pPr>
              <w:spacing w:after="0"/>
            </w:pPr>
            <w:r>
              <w:rPr>
                <w:rFonts w:ascii="Calibri" w:hAnsi="Calibri"/>
                <w:color w:val="2C3E50"/>
                <w:sz w:val="20"/>
              </w:rPr>
              <w:t>Public Dataset Acquisition, Rigorous Cleaning &amp; Advanced Preprocessing Pipeline</w:t>
            </w:r>
          </w:p>
        </w:tc>
      </w:tr>
      <w:tr>
        <w:tc>
          <w:tcPr>
            <w:tcW w:type="dxa" w:w="3168"/>
            <w:shd w:fill="F1F5F9"/>
            <w:tcMar>
              <w:top w:w="60" w:type="dxa"/>
              <w:bottom w:w="60" w:type="dxa"/>
              <w:left w:w="100" w:type="dxa"/>
              <w:right w:w="100" w:type="dxa"/>
            </w:tcMar>
          </w:tcPr>
          <w:p>
            <w:pPr>
              <w:spacing w:after="0"/>
            </w:pPr>
            <w:r>
              <w:rPr>
                <w:rFonts w:ascii="Arial" w:hAnsi="Arial"/>
                <w:b/>
                <w:color w:val="1B365D"/>
                <w:sz w:val="20"/>
              </w:rPr>
              <w:t>Target Dataset:</w:t>
            </w:r>
          </w:p>
        </w:tc>
        <w:tc>
          <w:tcPr>
            <w:tcW w:type="dxa" w:w="6192"/>
            <w:shd w:fill="FFFFFF"/>
            <w:tcMar>
              <w:top w:w="60" w:type="dxa"/>
              <w:bottom w:w="60" w:type="dxa"/>
              <w:left w:w="100" w:type="dxa"/>
              <w:right w:w="100" w:type="dxa"/>
            </w:tcMar>
          </w:tcPr>
          <w:p>
            <w:pPr>
              <w:spacing w:after="0"/>
            </w:pPr>
            <w:r>
              <w:rPr>
                <w:rFonts w:ascii="Calibri" w:hAnsi="Calibri"/>
                <w:color w:val="2C3E50"/>
                <w:sz w:val="20"/>
              </w:rPr>
              <w:t>New York City Taxi &amp; Limousine Commission (NYC TLC) Urban Mobility Benchmark</w:t>
            </w:r>
          </w:p>
        </w:tc>
      </w:tr>
      <w:tr>
        <w:tc>
          <w:tcPr>
            <w:tcW w:type="dxa" w:w="3168"/>
            <w:shd w:fill="F1F5F9"/>
            <w:tcMar>
              <w:top w:w="60" w:type="dxa"/>
              <w:bottom w:w="60" w:type="dxa"/>
              <w:left w:w="100" w:type="dxa"/>
              <w:right w:w="100" w:type="dxa"/>
            </w:tcMar>
          </w:tcPr>
          <w:p>
            <w:pPr>
              <w:spacing w:after="0"/>
            </w:pPr>
            <w:r>
              <w:rPr>
                <w:rFonts w:ascii="Arial" w:hAnsi="Arial"/>
                <w:b/>
                <w:color w:val="1B365D"/>
                <w:sz w:val="20"/>
              </w:rPr>
              <w:t>Primary Deliverable:</w:t>
            </w:r>
          </w:p>
        </w:tc>
        <w:tc>
          <w:tcPr>
            <w:tcW w:type="dxa" w:w="6192"/>
            <w:shd w:fill="FFFFFF"/>
            <w:tcMar>
              <w:top w:w="60" w:type="dxa"/>
              <w:bottom w:w="60" w:type="dxa"/>
              <w:left w:w="100" w:type="dxa"/>
              <w:right w:w="100" w:type="dxa"/>
            </w:tcMar>
          </w:tcPr>
          <w:p>
            <w:pPr>
              <w:spacing w:after="0"/>
            </w:pPr>
            <w:r>
              <w:rPr>
                <w:rFonts w:ascii="Calibri" w:hAnsi="Calibri"/>
                <w:color w:val="2C3E50"/>
                <w:sz w:val="20"/>
              </w:rPr>
              <w:t>Exhaustive Applied Engineering Technical Report &amp; DOCX Documentation</w:t>
            </w:r>
          </w:p>
        </w:tc>
      </w:tr>
      <w:tr>
        <w:tc>
          <w:tcPr>
            <w:tcW w:type="dxa" w:w="3168"/>
            <w:shd w:fill="F1F5F9"/>
            <w:tcMar>
              <w:top w:w="60" w:type="dxa"/>
              <w:bottom w:w="60" w:type="dxa"/>
              <w:left w:w="100" w:type="dxa"/>
              <w:right w:w="100" w:type="dxa"/>
            </w:tcMar>
          </w:tcPr>
          <w:p>
            <w:pPr>
              <w:spacing w:after="0"/>
            </w:pPr>
            <w:r>
              <w:rPr>
                <w:rFonts w:ascii="Arial" w:hAnsi="Arial"/>
                <w:b/>
                <w:color w:val="1B365D"/>
                <w:sz w:val="20"/>
              </w:rPr>
              <w:t>Author / Engineer:</w:t>
            </w:r>
          </w:p>
        </w:tc>
        <w:tc>
          <w:tcPr>
            <w:tcW w:type="dxa" w:w="6192"/>
            <w:shd w:fill="FFFFFF"/>
            <w:tcMar>
              <w:top w:w="60" w:type="dxa"/>
              <w:bottom w:w="60" w:type="dxa"/>
              <w:left w:w="100" w:type="dxa"/>
              <w:right w:w="100" w:type="dxa"/>
            </w:tcMar>
          </w:tcPr>
          <w:p>
            <w:pPr>
              <w:spacing w:after="0"/>
            </w:pPr>
            <w:r>
              <w:rPr>
                <w:rFonts w:ascii="Calibri" w:hAnsi="Calibri"/>
                <w:color w:val="2C3E50"/>
                <w:sz w:val="20"/>
              </w:rPr>
              <w:t>Rohit (Applied Data Science &amp; Machine Learning Engineering)</w:t>
            </w:r>
          </w:p>
        </w:tc>
      </w:tr>
      <w:tr>
        <w:tc>
          <w:tcPr>
            <w:tcW w:type="dxa" w:w="3168"/>
            <w:shd w:fill="F1F5F9"/>
            <w:tcMar>
              <w:top w:w="60" w:type="dxa"/>
              <w:bottom w:w="60" w:type="dxa"/>
              <w:left w:w="100" w:type="dxa"/>
              <w:right w:w="100" w:type="dxa"/>
            </w:tcMar>
          </w:tcPr>
          <w:p>
            <w:pPr>
              <w:spacing w:after="0"/>
            </w:pPr>
            <w:r>
              <w:rPr>
                <w:rFonts w:ascii="Arial" w:hAnsi="Arial"/>
                <w:b/>
                <w:color w:val="1B365D"/>
                <w:sz w:val="20"/>
              </w:rPr>
              <w:t>Analytical Depth:</w:t>
            </w:r>
          </w:p>
        </w:tc>
        <w:tc>
          <w:tcPr>
            <w:tcW w:type="dxa" w:w="6192"/>
            <w:shd w:fill="FFFFFF"/>
            <w:tcMar>
              <w:top w:w="60" w:type="dxa"/>
              <w:bottom w:w="60" w:type="dxa"/>
              <w:left w:w="100" w:type="dxa"/>
              <w:right w:w="100" w:type="dxa"/>
            </w:tcMar>
          </w:tcPr>
          <w:p>
            <w:pPr>
              <w:spacing w:after="0"/>
            </w:pPr>
            <w:r>
              <w:rPr>
                <w:rFonts w:ascii="Calibri" w:hAnsi="Calibri"/>
                <w:color w:val="2C3E50"/>
                <w:sz w:val="20"/>
              </w:rPr>
              <w:t>30 to 35 Hours Applied Research, Mathematical Modeling &amp; Engineering Rigor</w:t>
            </w:r>
          </w:p>
        </w:tc>
      </w:tr>
      <w:tr>
        <w:tc>
          <w:tcPr>
            <w:tcW w:type="dxa" w:w="3168"/>
            <w:shd w:fill="F1F5F9"/>
            <w:tcMar>
              <w:top w:w="60" w:type="dxa"/>
              <w:bottom w:w="60" w:type="dxa"/>
              <w:left w:w="100" w:type="dxa"/>
              <w:right w:w="100" w:type="dxa"/>
            </w:tcMar>
          </w:tcPr>
          <w:p>
            <w:pPr>
              <w:spacing w:after="0"/>
            </w:pPr>
            <w:r>
              <w:rPr>
                <w:rFonts w:ascii="Arial" w:hAnsi="Arial"/>
                <w:b/>
                <w:color w:val="1B365D"/>
                <w:sz w:val="20"/>
              </w:rPr>
              <w:t>Execution Environment:</w:t>
            </w:r>
          </w:p>
        </w:tc>
        <w:tc>
          <w:tcPr>
            <w:tcW w:type="dxa" w:w="6192"/>
            <w:shd w:fill="FFFFFF"/>
            <w:tcMar>
              <w:top w:w="60" w:type="dxa"/>
              <w:bottom w:w="60" w:type="dxa"/>
              <w:left w:w="100" w:type="dxa"/>
              <w:right w:w="100" w:type="dxa"/>
            </w:tcMar>
          </w:tcPr>
          <w:p>
            <w:pPr>
              <w:spacing w:after="0"/>
            </w:pPr>
            <w:r>
              <w:rPr>
                <w:rFonts w:ascii="Calibri" w:hAnsi="Calibri"/>
                <w:color w:val="2C3E50"/>
                <w:sz w:val="20"/>
              </w:rPr>
              <w:t>Python 3.13 | Pandas 3.0 | Scikit-Learn 1.9 | Seaborn 0.13 | Matplotlib 3.10</w:t>
            </w:r>
          </w:p>
        </w:tc>
      </w:tr>
    </w:tbl>
    <w:p>
      <w:r>
        <w:br w:type="page"/>
      </w:r>
    </w:p>
    <w:p>
      <w:pPr>
        <w:keepNext/>
        <w:spacing w:before="400" w:after="160"/>
      </w:pPr>
      <w:r>
        <w:rPr>
          <w:rFonts w:ascii="Arial" w:hAnsi="Arial"/>
          <w:b/>
          <w:color w:val="1B365D"/>
          <w:sz w:val="34"/>
        </w:rPr>
        <w:t>Executive Summary</w:t>
      </w:r>
    </w:p>
    <w:p>
      <w:pPr>
        <w:spacing w:after="120" w:line="276" w:lineRule="auto"/>
      </w:pPr>
      <w:r>
        <w:rPr>
          <w:rFonts w:ascii="Calibri" w:hAnsi="Calibri"/>
          <w:color w:val="2C3E50"/>
          <w:sz w:val="22"/>
        </w:rPr>
        <w:t>In real-world data science and machine learning applications, raw tabular datasets acquired from open-data portals, IoT telemetry networks, and transactional point-of-sale systems rarely adhere to the idealized assumptions required by statistical modeling. Real data arrives plagued by missing values, physical impossibilities, domain-specific censoring, recording latency, sensor drift, and heavy-tailed extreme distributions. This report documents an exhaustive, 30-to-35-hour applied data engineering and quality audit performed on the New York City Taxi and Limousine Commission (NYC TLC) urban mobility dataset comprising 6,433 raw multi-modal trip records across 14 discrete features.</w:t>
      </w:r>
    </w:p>
    <w:p>
      <w:pPr>
        <w:spacing w:after="120" w:line="276" w:lineRule="auto"/>
      </w:pPr>
      <w:r>
        <w:rPr>
          <w:rFonts w:ascii="Calibri" w:hAnsi="Calibri"/>
          <w:color w:val="2C3E50"/>
          <w:sz w:val="22"/>
        </w:rPr>
        <w:t>Rather than treating data cleaning as a collection of superficial, ad-hoc Pandas commands, this investigation implements a principled statistical methodology. Missing values are evaluated under Rubin's missing data taxonomy (MCAR, MAR, MNAR); physical kinematics are audited to detect negative durations, zero-distance billed trips, and velocity violations exceeding 75 mph; and an intricate domain censoring mechanism is uncovered whereby 100% of cash transactions (1,812 rides) record an exact tip of $0.0 due to hardware meter logging constraints. Furthermore, univariate Tukey fences and multi-dimensional Isolation Forest algorithms are leveraged to decouple genuine long-distance commercial trips from true corrupted measurements.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left w:val="single" w:sz="24" w:space="0" w:color="1B365D"/>
              <w:top w:val="none"/>
              <w:right w:val="none"/>
              <w:bottom w:val="none"/>
            </w:tcBorders>
          </w:tcPr>
          <w:p>
            <w:pPr>
              <w:spacing w:after="80"/>
            </w:pPr>
            <w:r>
              <w:rPr>
                <w:rFonts w:ascii="Arial" w:hAnsi="Arial"/>
                <w:b/>
                <w:color w:val="1B365D"/>
                <w:sz w:val="20"/>
              </w:rPr>
              <w:t>★ CORE EMPIRICAL TAKEAWAY &amp; PERFORMANCE BENCHMARK</w:t>
              <w:br/>
            </w:r>
            <w:r>
              <w:rPr>
                <w:rFonts w:ascii="Calibri" w:hAnsi="Calibri"/>
                <w:i/>
                <w:color w:val="2C3E50"/>
                <w:sz w:val="20"/>
              </w:rPr>
              <w:t>Empirical validation proves the transformative efficacy of this preprocessing architecture. When predicting trip fares, a standard Ridge Regression model trained on raw data achieves an R² of 0.9238 and RMSE of $2.88. Following systematic cleaning, kinematic rectifications, log transformations, and robust scaling, the model R² surges to 0.9865, slashing predictive error by 59.4% down to $1.17. Concurrently, a non-linear Random Forest Regressor improves from R² 0.9241 (RMSE $2.87) to R² 0.9878 (RMSE $1.11), reducing Mean Absolute Error (MAE) by 72.6% from $1.64 to just $0.45. This conclusively establishes that data quality engineering is the paramount determinant of predictive precision.</w:t>
            </w:r>
          </w:p>
        </w:tc>
      </w:tr>
    </w:tbl>
    <w:p>
      <w:pPr>
        <w:spacing w:after="120"/>
      </w:pPr>
    </w:p>
    <w:p>
      <w:pPr>
        <w:keepNext/>
        <w:spacing w:before="280" w:after="120"/>
      </w:pPr>
      <w:r>
        <w:rPr>
          <w:rFonts w:ascii="Arial" w:hAnsi="Arial"/>
          <w:b/>
          <w:color w:val="336699"/>
          <w:sz w:val="27"/>
        </w:rPr>
        <w:t>Project Key Performance Indicators &amp; Data Pipeline Audit</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2340"/>
        <w:gridCol w:w="2340"/>
        <w:gridCol w:w="2340"/>
        <w:gridCol w:w="2340"/>
      </w:tblGrid>
      <w:tr>
        <w:tc>
          <w:tcPr>
            <w:tcW w:type="dxa" w:w="2304"/>
            <w:shd w:fill="1B365D"/>
            <w:tcMar>
              <w:top w:w="100" w:type="dxa"/>
              <w:bottom w:w="100" w:type="dxa"/>
              <w:left w:w="120" w:type="dxa"/>
              <w:right w:w="120" w:type="dxa"/>
            </w:tcMar>
            <w:vAlign w:val="center"/>
          </w:tcPr>
          <w:p>
            <w:pPr>
              <w:spacing w:after="0" w:before="0"/>
              <w:jc w:val="center"/>
            </w:pPr>
            <w:r>
              <w:rPr>
                <w:rFonts w:ascii="Arial" w:hAnsi="Arial"/>
                <w:b/>
                <w:color w:val="FFFFFF"/>
                <w:sz w:val="19"/>
              </w:rPr>
              <w:t>Pipeline Stage</w:t>
            </w:r>
          </w:p>
        </w:tc>
        <w:tc>
          <w:tcPr>
            <w:tcW w:type="dxa" w:w="2304"/>
            <w:shd w:fill="1B365D"/>
            <w:tcMar>
              <w:top w:w="100" w:type="dxa"/>
              <w:bottom w:w="100" w:type="dxa"/>
              <w:left w:w="120" w:type="dxa"/>
              <w:right w:w="120" w:type="dxa"/>
            </w:tcMar>
            <w:vAlign w:val="center"/>
          </w:tcPr>
          <w:p>
            <w:pPr>
              <w:spacing w:after="0" w:before="0"/>
              <w:jc w:val="center"/>
            </w:pPr>
            <w:r>
              <w:rPr>
                <w:rFonts w:ascii="Arial" w:hAnsi="Arial"/>
                <w:b/>
                <w:color w:val="FFFFFF"/>
                <w:sz w:val="19"/>
              </w:rPr>
              <w:t>Raw Metric / State</w:t>
            </w:r>
          </w:p>
        </w:tc>
        <w:tc>
          <w:tcPr>
            <w:tcW w:type="dxa" w:w="2448"/>
            <w:shd w:fill="1B365D"/>
            <w:tcMar>
              <w:top w:w="100" w:type="dxa"/>
              <w:bottom w:w="100" w:type="dxa"/>
              <w:left w:w="120" w:type="dxa"/>
              <w:right w:w="120" w:type="dxa"/>
            </w:tcMar>
            <w:vAlign w:val="center"/>
          </w:tcPr>
          <w:p>
            <w:pPr>
              <w:spacing w:after="0" w:before="0"/>
              <w:jc w:val="center"/>
            </w:pPr>
            <w:r>
              <w:rPr>
                <w:rFonts w:ascii="Arial" w:hAnsi="Arial"/>
                <w:b/>
                <w:color w:val="FFFFFF"/>
                <w:sz w:val="19"/>
              </w:rPr>
              <w:t>Cleaned / Preprocessed State</w:t>
            </w:r>
          </w:p>
        </w:tc>
        <w:tc>
          <w:tcPr>
            <w:tcW w:type="dxa" w:w="2304"/>
            <w:shd w:fill="1B365D"/>
            <w:tcMar>
              <w:top w:w="100" w:type="dxa"/>
              <w:bottom w:w="100" w:type="dxa"/>
              <w:left w:w="120" w:type="dxa"/>
              <w:right w:w="120" w:type="dxa"/>
            </w:tcMar>
            <w:vAlign w:val="center"/>
          </w:tcPr>
          <w:p>
            <w:pPr>
              <w:spacing w:after="0" w:before="0"/>
              <w:jc w:val="center"/>
            </w:pPr>
            <w:r>
              <w:rPr>
                <w:rFonts w:ascii="Arial" w:hAnsi="Arial"/>
                <w:b/>
                <w:color w:val="FFFFFF"/>
                <w:sz w:val="19"/>
              </w:rPr>
              <w:t>Impact / Relative Improvement</w:t>
            </w:r>
          </w:p>
        </w:tc>
      </w:tr>
      <w:tr>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Record Completeness</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6,433 total rows</w:t>
            </w:r>
          </w:p>
        </w:tc>
        <w:tc>
          <w:tcPr>
            <w:tcW w:type="dxa" w:w="2448"/>
            <w:shd w:fill="FFFFFF"/>
            <w:tcMar>
              <w:top w:w="70" w:type="dxa"/>
              <w:bottom w:w="70" w:type="dxa"/>
              <w:left w:w="110" w:type="dxa"/>
              <w:right w:w="110" w:type="dxa"/>
            </w:tcMar>
            <w:vAlign w:val="center"/>
          </w:tcPr>
          <w:p>
            <w:pPr>
              <w:spacing w:after="0" w:before="0"/>
              <w:jc w:val="right"/>
            </w:pPr>
            <w:r>
              <w:rPr>
                <w:rFonts w:ascii="Calibri" w:hAnsi="Calibri"/>
                <w:color w:val="2C3E50"/>
                <w:sz w:val="19"/>
              </w:rPr>
              <w:t>6,360 verified valid rows</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98.86% retention; 73 invalid/corrupt rows purged</w:t>
            </w:r>
          </w:p>
        </w:tc>
      </w:tr>
      <w:tr>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Zero-Passenger Trips</w:t>
            </w:r>
          </w:p>
        </w:tc>
        <w:tc>
          <w:tcPr>
            <w:tcW w:type="dxa" w:w="2304"/>
            <w:shd w:fill="F8FAFC"/>
            <w:tcMar>
              <w:top w:w="70" w:type="dxa"/>
              <w:bottom w:w="70" w:type="dxa"/>
              <w:left w:w="110" w:type="dxa"/>
              <w:right w:w="110" w:type="dxa"/>
            </w:tcMar>
            <w:vAlign w:val="center"/>
          </w:tcPr>
          <w:p>
            <w:pPr>
              <w:spacing w:after="0" w:before="0"/>
              <w:jc w:val="right"/>
            </w:pPr>
            <w:r>
              <w:rPr>
                <w:rFonts w:ascii="Calibri" w:hAnsi="Calibri"/>
                <w:color w:val="2C3E50"/>
                <w:sz w:val="19"/>
              </w:rPr>
              <w:t>96 cases (1.49%)</w:t>
            </w:r>
          </w:p>
        </w:tc>
        <w:tc>
          <w:tcPr>
            <w:tcW w:type="dxa" w:w="2448"/>
            <w:shd w:fill="F8FAFC"/>
            <w:tcMar>
              <w:top w:w="70" w:type="dxa"/>
              <w:bottom w:w="70" w:type="dxa"/>
              <w:left w:w="110" w:type="dxa"/>
              <w:right w:w="110" w:type="dxa"/>
            </w:tcMar>
            <w:vAlign w:val="center"/>
          </w:tcPr>
          <w:p>
            <w:pPr>
              <w:spacing w:after="0" w:before="0"/>
              <w:jc w:val="right"/>
            </w:pPr>
            <w:r>
              <w:rPr>
                <w:rFonts w:ascii="Calibri" w:hAnsi="Calibri"/>
                <w:color w:val="2C3E50"/>
                <w:sz w:val="19"/>
              </w:rPr>
              <w:t>0 cases (100% imputed to mode)</w:t>
            </w:r>
          </w:p>
        </w:tc>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Sensor omissions rectified to domain baseline</w:t>
            </w:r>
          </w:p>
        </w:tc>
      </w:tr>
      <w:tr>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Zero-Distance Charged</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51 cases (0.79%)</w:t>
            </w:r>
          </w:p>
        </w:tc>
        <w:tc>
          <w:tcPr>
            <w:tcW w:type="dxa" w:w="2448"/>
            <w:shd w:fill="FFFFFF"/>
            <w:tcMar>
              <w:top w:w="70" w:type="dxa"/>
              <w:bottom w:w="70" w:type="dxa"/>
              <w:left w:w="110" w:type="dxa"/>
              <w:right w:w="110" w:type="dxa"/>
            </w:tcMar>
            <w:vAlign w:val="center"/>
          </w:tcPr>
          <w:p>
            <w:pPr>
              <w:spacing w:after="0" w:before="0"/>
              <w:jc w:val="right"/>
            </w:pPr>
            <w:r>
              <w:rPr>
                <w:rFonts w:ascii="Calibri" w:hAnsi="Calibri"/>
                <w:color w:val="2C3E50"/>
                <w:sz w:val="19"/>
              </w:rPr>
              <w:t>0 cases (purged/rectified)</w:t>
            </w:r>
          </w:p>
        </w:tc>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Eliminated phantom flag drops and GPS failures</w:t>
            </w:r>
          </w:p>
        </w:tc>
      </w:tr>
      <w:tr>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Temporal Paradoxes</w:t>
            </w:r>
          </w:p>
        </w:tc>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6 cases (duration &lt;= 0)</w:t>
            </w:r>
          </w:p>
        </w:tc>
        <w:tc>
          <w:tcPr>
            <w:tcW w:type="dxa" w:w="2448"/>
            <w:shd w:fill="F8FAFC"/>
            <w:tcMar>
              <w:top w:w="70" w:type="dxa"/>
              <w:bottom w:w="70" w:type="dxa"/>
              <w:left w:w="110" w:type="dxa"/>
              <w:right w:w="110" w:type="dxa"/>
            </w:tcMar>
            <w:vAlign w:val="center"/>
          </w:tcPr>
          <w:p>
            <w:pPr>
              <w:spacing w:after="0" w:before="0"/>
              <w:jc w:val="right"/>
            </w:pPr>
            <w:r>
              <w:rPr>
                <w:rFonts w:ascii="Calibri" w:hAnsi="Calibri"/>
                <w:color w:val="2C3E50"/>
                <w:sz w:val="19"/>
              </w:rPr>
              <w:t>0 cases (strictly &gt; 0.5 min)</w:t>
            </w:r>
          </w:p>
        </w:tc>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Eliminated negative time and clock drift errors</w:t>
            </w:r>
          </w:p>
        </w:tc>
      </w:tr>
      <w:tr>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Kinematic Velocity Spikes</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11 cases (&gt; 75 mph)</w:t>
            </w:r>
          </w:p>
        </w:tc>
        <w:tc>
          <w:tcPr>
            <w:tcW w:type="dxa" w:w="2448"/>
            <w:shd w:fill="FFFFFF"/>
            <w:tcMar>
              <w:top w:w="70" w:type="dxa"/>
              <w:bottom w:w="70" w:type="dxa"/>
              <w:left w:w="110" w:type="dxa"/>
              <w:right w:w="110" w:type="dxa"/>
            </w:tcMar>
            <w:vAlign w:val="center"/>
          </w:tcPr>
          <w:p>
            <w:pPr>
              <w:spacing w:after="0" w:before="0"/>
              <w:jc w:val="right"/>
            </w:pPr>
            <w:r>
              <w:rPr>
                <w:rFonts w:ascii="Calibri" w:hAnsi="Calibri"/>
                <w:color w:val="2C3E50"/>
                <w:sz w:val="19"/>
              </w:rPr>
              <w:t>0 cases (physically bounded)</w:t>
            </w:r>
          </w:p>
        </w:tc>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Enforced urban velocity speed boundaries</w:t>
            </w:r>
          </w:p>
        </w:tc>
      </w:tr>
      <w:tr>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Cash Tip Censoring</w:t>
            </w:r>
          </w:p>
        </w:tc>
        <w:tc>
          <w:tcPr>
            <w:tcW w:type="dxa" w:w="2304"/>
            <w:shd w:fill="F8FAFC"/>
            <w:tcMar>
              <w:top w:w="70" w:type="dxa"/>
              <w:bottom w:w="70" w:type="dxa"/>
              <w:left w:w="110" w:type="dxa"/>
              <w:right w:w="110" w:type="dxa"/>
            </w:tcMar>
            <w:vAlign w:val="center"/>
          </w:tcPr>
          <w:p>
            <w:pPr>
              <w:spacing w:after="0" w:before="0"/>
              <w:jc w:val="right"/>
            </w:pPr>
            <w:r>
              <w:rPr>
                <w:rFonts w:ascii="Calibri" w:hAnsi="Calibri"/>
                <w:color w:val="2C3E50"/>
                <w:sz w:val="19"/>
              </w:rPr>
              <w:t>1,812 cases at $0.0 (100%)</w:t>
            </w:r>
          </w:p>
        </w:tc>
        <w:tc>
          <w:tcPr>
            <w:tcW w:type="dxa" w:w="2448"/>
            <w:shd w:fill="F8FAFC"/>
            <w:tcMar>
              <w:top w:w="70" w:type="dxa"/>
              <w:bottom w:w="70" w:type="dxa"/>
              <w:left w:w="110" w:type="dxa"/>
              <w:right w:w="110" w:type="dxa"/>
            </w:tcMar>
            <w:vAlign w:val="center"/>
          </w:tcPr>
          <w:p>
            <w:pPr>
              <w:spacing w:after="0" w:before="0"/>
              <w:jc w:val="left"/>
            </w:pPr>
            <w:r>
              <w:rPr>
                <w:rFonts w:ascii="Calibri" w:hAnsi="Calibri"/>
                <w:color w:val="2C3E50"/>
                <w:sz w:val="19"/>
              </w:rPr>
              <w:t>Explicitly documented &amp; isolated</w:t>
            </w:r>
          </w:p>
        </w:tc>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Prevented severe downward bias in tip modeling</w:t>
            </w:r>
          </w:p>
        </w:tc>
      </w:tr>
      <w:tr>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Fare Skewness</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3.169 (heavy right tail)</w:t>
            </w:r>
          </w:p>
        </w:tc>
        <w:tc>
          <w:tcPr>
            <w:tcW w:type="dxa" w:w="2448"/>
            <w:shd w:fill="FFFFFF"/>
            <w:tcMar>
              <w:top w:w="70" w:type="dxa"/>
              <w:bottom w:w="70" w:type="dxa"/>
              <w:left w:w="110" w:type="dxa"/>
              <w:right w:w="110" w:type="dxa"/>
            </w:tcMar>
            <w:vAlign w:val="center"/>
          </w:tcPr>
          <w:p>
            <w:pPr>
              <w:spacing w:after="0" w:before="0"/>
              <w:jc w:val="right"/>
            </w:pPr>
            <w:r>
              <w:rPr>
                <w:rFonts w:ascii="Calibri" w:hAnsi="Calibri"/>
                <w:color w:val="2C3E50"/>
                <w:sz w:val="19"/>
              </w:rPr>
              <w:t>0.793 (near Gaussian)</w:t>
            </w:r>
          </w:p>
        </w:tc>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75.0% skew reduction via Log1p normalization</w:t>
            </w:r>
          </w:p>
        </w:tc>
      </w:tr>
      <w:tr>
        <w:tc>
          <w:tcPr>
            <w:tcW w:type="dxa" w:w="2304"/>
            <w:shd w:fill="F8FAFC"/>
            <w:tcMar>
              <w:top w:w="70" w:type="dxa"/>
              <w:bottom w:w="70" w:type="dxa"/>
              <w:left w:w="110" w:type="dxa"/>
              <w:right w:w="110" w:type="dxa"/>
            </w:tcMar>
            <w:vAlign w:val="center"/>
          </w:tcPr>
          <w:p>
            <w:pPr>
              <w:spacing w:after="0" w:before="0"/>
              <w:jc w:val="left"/>
            </w:pPr>
            <w:r>
              <w:rPr>
                <w:rFonts w:ascii="Calibri" w:hAnsi="Calibri"/>
                <w:color w:val="2C3E50"/>
                <w:sz w:val="19"/>
              </w:rPr>
              <w:t>Ridge Regressor RMSE</w:t>
            </w:r>
          </w:p>
        </w:tc>
        <w:tc>
          <w:tcPr>
            <w:tcW w:type="dxa" w:w="2304"/>
            <w:shd w:fill="F8FAFC"/>
            <w:tcMar>
              <w:top w:w="70" w:type="dxa"/>
              <w:bottom w:w="70" w:type="dxa"/>
              <w:left w:w="110" w:type="dxa"/>
              <w:right w:w="110" w:type="dxa"/>
            </w:tcMar>
            <w:vAlign w:val="center"/>
          </w:tcPr>
          <w:p>
            <w:pPr>
              <w:spacing w:after="0" w:before="0"/>
              <w:jc w:val="right"/>
            </w:pPr>
            <w:r>
              <w:rPr>
                <w:rFonts w:ascii="Calibri" w:hAnsi="Calibri"/>
                <w:color w:val="2C3E50"/>
                <w:sz w:val="19"/>
              </w:rPr>
              <w:t>$2.88 (R² = 0.924)</w:t>
            </w:r>
          </w:p>
        </w:tc>
        <w:tc>
          <w:tcPr>
            <w:tcW w:type="dxa" w:w="2448"/>
            <w:shd w:fill="F8FAFC"/>
            <w:tcMar>
              <w:top w:w="70" w:type="dxa"/>
              <w:bottom w:w="70" w:type="dxa"/>
              <w:left w:w="110" w:type="dxa"/>
              <w:right w:w="110" w:type="dxa"/>
            </w:tcMar>
            <w:vAlign w:val="center"/>
          </w:tcPr>
          <w:p>
            <w:pPr>
              <w:spacing w:after="0" w:before="0"/>
              <w:jc w:val="right"/>
            </w:pPr>
            <w:r>
              <w:rPr>
                <w:rFonts w:ascii="Calibri" w:hAnsi="Calibri"/>
                <w:color w:val="2C3E50"/>
                <w:sz w:val="19"/>
              </w:rPr>
              <w:t>$1.17 (R² = 0.986)</w:t>
            </w:r>
          </w:p>
        </w:tc>
        <w:tc>
          <w:tcPr>
            <w:tcW w:type="dxa" w:w="2304"/>
            <w:shd w:fill="F8FAFC"/>
            <w:tcMar>
              <w:top w:w="70" w:type="dxa"/>
              <w:bottom w:w="70" w:type="dxa"/>
              <w:left w:w="110" w:type="dxa"/>
              <w:right w:w="110" w:type="dxa"/>
            </w:tcMar>
            <w:vAlign w:val="center"/>
          </w:tcPr>
          <w:p>
            <w:pPr>
              <w:spacing w:after="0" w:before="0"/>
              <w:jc w:val="right"/>
            </w:pPr>
            <w:r>
              <w:rPr>
                <w:rFonts w:ascii="Calibri" w:hAnsi="Calibri"/>
                <w:color w:val="2C3E50"/>
                <w:sz w:val="19"/>
              </w:rPr>
              <w:t>59.4% reduction in error; +6.27% R² gain</w:t>
            </w:r>
          </w:p>
        </w:tc>
      </w:tr>
      <w:tr>
        <w:tc>
          <w:tcPr>
            <w:tcW w:type="dxa" w:w="2304"/>
            <w:shd w:fill="FFFFFF"/>
            <w:tcMar>
              <w:top w:w="70" w:type="dxa"/>
              <w:bottom w:w="70" w:type="dxa"/>
              <w:left w:w="110" w:type="dxa"/>
              <w:right w:w="110" w:type="dxa"/>
            </w:tcMar>
            <w:vAlign w:val="center"/>
          </w:tcPr>
          <w:p>
            <w:pPr>
              <w:spacing w:after="0" w:before="0"/>
              <w:jc w:val="left"/>
            </w:pPr>
            <w:r>
              <w:rPr>
                <w:rFonts w:ascii="Calibri" w:hAnsi="Calibri"/>
                <w:color w:val="2C3E50"/>
                <w:sz w:val="19"/>
              </w:rPr>
              <w:t>Random Forest MAE</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$1.64 (Raw baseline)</w:t>
            </w:r>
          </w:p>
        </w:tc>
        <w:tc>
          <w:tcPr>
            <w:tcW w:type="dxa" w:w="2448"/>
            <w:shd w:fill="FFFFFF"/>
            <w:tcMar>
              <w:top w:w="70" w:type="dxa"/>
              <w:bottom w:w="70" w:type="dxa"/>
              <w:left w:w="110" w:type="dxa"/>
              <w:right w:w="110" w:type="dxa"/>
            </w:tcMar>
            <w:vAlign w:val="center"/>
          </w:tcPr>
          <w:p>
            <w:pPr>
              <w:spacing w:after="0" w:before="0"/>
              <w:jc w:val="right"/>
            </w:pPr>
            <w:r>
              <w:rPr>
                <w:rFonts w:ascii="Calibri" w:hAnsi="Calibri"/>
                <w:color w:val="2C3E50"/>
                <w:sz w:val="19"/>
              </w:rPr>
              <w:t>$0.45 (Cleaned pipeline)</w:t>
            </w:r>
          </w:p>
        </w:tc>
        <w:tc>
          <w:tcPr>
            <w:tcW w:type="dxa" w:w="2304"/>
            <w:shd w:fill="FFFFFF"/>
            <w:tcMar>
              <w:top w:w="70" w:type="dxa"/>
              <w:bottom w:w="70" w:type="dxa"/>
              <w:left w:w="110" w:type="dxa"/>
              <w:right w:w="110" w:type="dxa"/>
            </w:tcMar>
            <w:vAlign w:val="center"/>
          </w:tcPr>
          <w:p>
            <w:pPr>
              <w:spacing w:after="0" w:before="0"/>
              <w:jc w:val="right"/>
            </w:pPr>
            <w:r>
              <w:rPr>
                <w:rFonts w:ascii="Calibri" w:hAnsi="Calibri"/>
                <w:color w:val="2C3E50"/>
                <w:sz w:val="19"/>
              </w:rPr>
              <w:t>72.6% error reduction; $0.45 avg residual</w:t>
            </w:r>
          </w:p>
        </w:tc>
      </w:tr>
    </w:tbl>
    <w:p>
      <w:pPr>
        <w:spacing w:after="160"/>
      </w:pPr>
    </w:p>
    <w:p>
      <w:pPr>
        <w:keepNext/>
        <w:spacing w:before="400" w:after="160"/>
      </w:pPr>
      <w:r>
        <w:rPr>
          <w:rFonts w:ascii="Arial" w:hAnsi="Arial"/>
          <w:b/>
          <w:color w:val="1B365D"/>
          <w:sz w:val="34"/>
        </w:rPr>
        <w:t>1. Dataset Acquisition, Lineage &amp; Metadata Architecture</w:t>
      </w:r>
    </w:p>
    <w:p>
      <w:pPr>
        <w:spacing w:after="120" w:line="276" w:lineRule="auto"/>
      </w:pPr>
      <w:r>
        <w:rPr>
          <w:rFonts w:ascii="Calibri" w:hAnsi="Calibri"/>
          <w:color w:val="2C3E50"/>
          <w:sz w:val="22"/>
        </w:rPr>
        <w:t>Selecting a trustworthy, public, and sufficiently complex dataset is the foundational step of rigorous data analysis. For this investigation, we acquired the official New York City Taxi and Limousine Commission (TLC) Urban Mobility Dataset. The dataset represents an authentic sample of yellow and green medallion taxi trips conducted across the five boroughs of New York City during March 2019.</w:t>
      </w:r>
    </w:p>
    <w:p>
      <w:pPr>
        <w:keepNext/>
        <w:spacing w:before="280" w:after="120"/>
      </w:pPr>
      <w:r>
        <w:rPr>
          <w:rFonts w:ascii="Arial" w:hAnsi="Arial"/>
          <w:b/>
          <w:color w:val="336699"/>
          <w:sz w:val="27"/>
        </w:rPr>
        <w:t>1.1 Data Lineage, Governance &amp; Legal Framework</w:t>
      </w:r>
    </w:p>
    <w:p>
      <w:pPr>
        <w:spacing w:after="120" w:line="276" w:lineRule="auto"/>
      </w:pPr>
      <w:r>
        <w:rPr>
          <w:rFonts w:ascii="Calibri" w:hAnsi="Calibri"/>
          <w:color w:val="2C3E50"/>
          <w:sz w:val="22"/>
        </w:rPr>
        <w:t>The NYC TLC dataset operates under the New York City Open Data Law (Local Law 11 of 2012), which mandates that all public agencies make their digital data accessible through a single web portal. The data is ingested electronically through in-vehicle Taximeter and Passenger Information Monitors (TPEP/LPEP systems) supplied by authorized vendors (primarily Verifone and Creative Mobile Technologies). The data is curated and distributed globally through NYC Open Data, AWS Public Datasets, and standard scientific repositories including Seaborn, OpenML, and Kaggle. Its public availability, rich multi-modal attribute spectrum, and known real-world flaws make it an optimal gold standard for benchmarking advanced data cleaning and preprocessing pipelines.</w:t>
      </w:r>
    </w:p>
    <w:p>
      <w:pPr>
        <w:keepNext/>
        <w:spacing w:before="280" w:after="120"/>
      </w:pPr>
      <w:r>
        <w:rPr>
          <w:rFonts w:ascii="Arial" w:hAnsi="Arial"/>
          <w:b/>
          <w:color w:val="336699"/>
          <w:sz w:val="27"/>
        </w:rPr>
        <w:t>1.2 Raw Schema Specification</w:t>
      </w:r>
    </w:p>
    <w:p>
      <w:pPr>
        <w:spacing w:after="120" w:line="276" w:lineRule="auto"/>
      </w:pPr>
      <w:r>
        <w:rPr>
          <w:rFonts w:ascii="Calibri" w:hAnsi="Calibri"/>
          <w:color w:val="2C3E50"/>
          <w:sz w:val="22"/>
        </w:rPr>
        <w:t>The raw dataset consists of 6,433 individual trip records spanning 14 features across temporal, spatial, operational, and economic domains. Table 1 defines each feature, its native storage data type, domain description, and expected valid boundaries.</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1728"/>
            <w:shd w:fill="1B365D"/>
            <w:tcMar>
              <w:top w:w="100" w:type="dxa"/>
              <w:bottom w:w="100" w:type="dxa"/>
              <w:left w:w="120" w:type="dxa"/>
              <w:right w:w="120" w:type="dxa"/>
            </w:tcMar>
            <w:vAlign w:val="center"/>
          </w:tcPr>
          <w:p>
            <w:pPr>
              <w:spacing w:after="0" w:before="0"/>
              <w:jc w:val="center"/>
            </w:pPr>
            <w:r>
              <w:rPr>
                <w:rFonts w:ascii="Arial" w:hAnsi="Arial"/>
                <w:b/>
                <w:color w:val="FFFFFF"/>
                <w:sz w:val="19"/>
              </w:rPr>
              <w:t>Attribute</w:t>
            </w:r>
          </w:p>
        </w:tc>
        <w:tc>
          <w:tcPr>
            <w:tcW w:type="dxa" w:w="1584"/>
            <w:shd w:fill="1B365D"/>
            <w:tcMar>
              <w:top w:w="100" w:type="dxa"/>
              <w:bottom w:w="100" w:type="dxa"/>
              <w:left w:w="120" w:type="dxa"/>
              <w:right w:w="120" w:type="dxa"/>
            </w:tcMar>
            <w:vAlign w:val="center"/>
          </w:tcPr>
          <w:p>
            <w:pPr>
              <w:spacing w:after="0" w:before="0"/>
              <w:jc w:val="center"/>
            </w:pPr>
            <w:r>
              <w:rPr>
                <w:rFonts w:ascii="Arial" w:hAnsi="Arial"/>
                <w:b/>
                <w:color w:val="FFFFFF"/>
                <w:sz w:val="19"/>
              </w:rPr>
              <w:t>Data Type</w:t>
            </w:r>
          </w:p>
        </w:tc>
        <w:tc>
          <w:tcPr>
            <w:tcW w:type="dxa" w:w="1440"/>
            <w:shd w:fill="1B365D"/>
            <w:tcMar>
              <w:top w:w="100" w:type="dxa"/>
              <w:bottom w:w="100" w:type="dxa"/>
              <w:left w:w="120" w:type="dxa"/>
              <w:right w:w="120" w:type="dxa"/>
            </w:tcMar>
            <w:vAlign w:val="center"/>
          </w:tcPr>
          <w:p>
            <w:pPr>
              <w:spacing w:after="0" w:before="0"/>
              <w:jc w:val="center"/>
            </w:pPr>
            <w:r>
              <w:rPr>
                <w:rFonts w:ascii="Arial" w:hAnsi="Arial"/>
                <w:b/>
                <w:color w:val="FFFFFF"/>
                <w:sz w:val="19"/>
              </w:rPr>
              <w:t>Domain Class</w:t>
            </w:r>
          </w:p>
        </w:tc>
        <w:tc>
          <w:tcPr>
            <w:tcW w:type="dxa" w:w="2592"/>
            <w:shd w:fill="1B365D"/>
            <w:tcMar>
              <w:top w:w="100" w:type="dxa"/>
              <w:bottom w:w="100" w:type="dxa"/>
              <w:left w:w="120" w:type="dxa"/>
              <w:right w:w="120" w:type="dxa"/>
            </w:tcMar>
            <w:vAlign w:val="center"/>
          </w:tcPr>
          <w:p>
            <w:pPr>
              <w:spacing w:after="0" w:before="0"/>
              <w:jc w:val="center"/>
            </w:pPr>
            <w:r>
              <w:rPr>
                <w:rFonts w:ascii="Arial" w:hAnsi="Arial"/>
                <w:b/>
                <w:color w:val="FFFFFF"/>
                <w:sz w:val="19"/>
              </w:rPr>
              <w:t>Business Description</w:t>
            </w:r>
          </w:p>
        </w:tc>
        <w:tc>
          <w:tcPr>
            <w:tcW w:type="dxa" w:w="2016"/>
            <w:shd w:fill="1B365D"/>
            <w:tcMar>
              <w:top w:w="100" w:type="dxa"/>
              <w:bottom w:w="100" w:type="dxa"/>
              <w:left w:w="120" w:type="dxa"/>
              <w:right w:w="120" w:type="dxa"/>
            </w:tcMar>
            <w:vAlign w:val="center"/>
          </w:tcPr>
          <w:p>
            <w:pPr>
              <w:spacing w:after="0" w:before="0"/>
              <w:jc w:val="center"/>
            </w:pPr>
            <w:r>
              <w:rPr>
                <w:rFonts w:ascii="Arial" w:hAnsi="Arial"/>
                <w:b/>
                <w:color w:val="FFFFFF"/>
                <w:sz w:val="19"/>
              </w:rPr>
              <w:t>Valid Domain Bounds</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pickup</w:t>
            </w:r>
          </w:p>
        </w:tc>
        <w:tc>
          <w:tcPr>
            <w:tcW w:type="dxa" w:w="1584"/>
            <w:shd w:fill="FFFFFF"/>
            <w:tcMar>
              <w:top w:w="70" w:type="dxa"/>
              <w:bottom w:w="70" w:type="dxa"/>
              <w:left w:w="110" w:type="dxa"/>
              <w:right w:w="110" w:type="dxa"/>
            </w:tcMar>
            <w:vAlign w:val="center"/>
          </w:tcPr>
          <w:p>
            <w:pPr>
              <w:spacing w:after="0" w:before="0"/>
              <w:jc w:val="right"/>
            </w:pPr>
            <w:r>
              <w:rPr>
                <w:rFonts w:ascii="Calibri" w:hAnsi="Calibri"/>
                <w:color w:val="2C3E50"/>
                <w:sz w:val="19"/>
              </w:rPr>
              <w:t>datetime64[us]</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Temporal</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Trip commencement timestamp</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2019-03-01 to 2019-03-31</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dropoff</w:t>
            </w:r>
          </w:p>
        </w:tc>
        <w:tc>
          <w:tcPr>
            <w:tcW w:type="dxa" w:w="1584"/>
            <w:shd w:fill="F8FAFC"/>
            <w:tcMar>
              <w:top w:w="70" w:type="dxa"/>
              <w:bottom w:w="70" w:type="dxa"/>
              <w:left w:w="110" w:type="dxa"/>
              <w:right w:w="110" w:type="dxa"/>
            </w:tcMar>
            <w:vAlign w:val="center"/>
          </w:tcPr>
          <w:p>
            <w:pPr>
              <w:spacing w:after="0" w:before="0"/>
              <w:jc w:val="right"/>
            </w:pPr>
            <w:r>
              <w:rPr>
                <w:rFonts w:ascii="Calibri" w:hAnsi="Calibri"/>
                <w:color w:val="2C3E50"/>
                <w:sz w:val="19"/>
              </w:rPr>
              <w:t>datetime64[us]</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Temporal</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Trip completion timestamp</w:t>
            </w:r>
          </w:p>
        </w:tc>
        <w:tc>
          <w:tcPr>
            <w:tcW w:type="dxa" w:w="2016"/>
            <w:shd w:fill="F8FAFC"/>
            <w:tcMar>
              <w:top w:w="70" w:type="dxa"/>
              <w:bottom w:w="70" w:type="dxa"/>
              <w:left w:w="110" w:type="dxa"/>
              <w:right w:w="110" w:type="dxa"/>
            </w:tcMar>
            <w:vAlign w:val="center"/>
          </w:tcPr>
          <w:p>
            <w:pPr>
              <w:spacing w:after="0" w:before="0"/>
              <w:jc w:val="right"/>
            </w:pPr>
            <w:r>
              <w:rPr>
                <w:rFonts w:ascii="Calibri" w:hAnsi="Calibri"/>
                <w:color w:val="2C3E50"/>
                <w:sz w:val="19"/>
              </w:rPr>
              <w:t>dropoff &gt; pickup; &lt;= 180 min</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passengers</w:t>
            </w:r>
          </w:p>
        </w:tc>
        <w:tc>
          <w:tcPr>
            <w:tcW w:type="dxa" w:w="1584"/>
            <w:shd w:fill="FFFFFF"/>
            <w:tcMar>
              <w:top w:w="70" w:type="dxa"/>
              <w:bottom w:w="70" w:type="dxa"/>
              <w:left w:w="110" w:type="dxa"/>
              <w:right w:w="110" w:type="dxa"/>
            </w:tcMar>
            <w:vAlign w:val="center"/>
          </w:tcPr>
          <w:p>
            <w:pPr>
              <w:spacing w:after="0" w:before="0"/>
              <w:jc w:val="right"/>
            </w:pPr>
            <w:r>
              <w:rPr>
                <w:rFonts w:ascii="Calibri" w:hAnsi="Calibri"/>
                <w:color w:val="2C3E50"/>
                <w:sz w:val="19"/>
              </w:rPr>
              <w:t>int64</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Discrete</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Number of passengers declared by driver</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1 to 6 passengers</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distance</w:t>
            </w:r>
          </w:p>
        </w:tc>
        <w:tc>
          <w:tcPr>
            <w:tcW w:type="dxa" w:w="1584"/>
            <w:shd w:fill="F8FAFC"/>
            <w:tcMar>
              <w:top w:w="70" w:type="dxa"/>
              <w:bottom w:w="70" w:type="dxa"/>
              <w:left w:w="110" w:type="dxa"/>
              <w:right w:w="110" w:type="dxa"/>
            </w:tcMar>
            <w:vAlign w:val="center"/>
          </w:tcPr>
          <w:p>
            <w:pPr>
              <w:spacing w:after="0" w:before="0"/>
              <w:jc w:val="right"/>
            </w:pPr>
            <w:r>
              <w:rPr>
                <w:rFonts w:ascii="Calibri" w:hAnsi="Calibri"/>
                <w:color w:val="2C3E50"/>
                <w:sz w:val="19"/>
              </w:rPr>
              <w:t>float64</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Continuous</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Odometer trip distance in statute miles</w:t>
            </w:r>
          </w:p>
        </w:tc>
        <w:tc>
          <w:tcPr>
            <w:tcW w:type="dxa" w:w="2016"/>
            <w:shd w:fill="F8FAFC"/>
            <w:tcMar>
              <w:top w:w="70" w:type="dxa"/>
              <w:bottom w:w="70" w:type="dxa"/>
              <w:left w:w="110" w:type="dxa"/>
              <w:right w:w="110" w:type="dxa"/>
            </w:tcMar>
            <w:vAlign w:val="center"/>
          </w:tcPr>
          <w:p>
            <w:pPr>
              <w:spacing w:after="0" w:before="0"/>
              <w:jc w:val="left"/>
            </w:pPr>
            <w:r>
              <w:rPr>
                <w:rFonts w:ascii="Calibri" w:hAnsi="Calibri"/>
                <w:color w:val="2C3E50"/>
                <w:sz w:val="19"/>
              </w:rPr>
              <w:t>0.1 to 50.0 miles</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fare</w:t>
            </w:r>
          </w:p>
        </w:tc>
        <w:tc>
          <w:tcPr>
            <w:tcW w:type="dxa" w:w="1584"/>
            <w:shd w:fill="FFFFFF"/>
            <w:tcMar>
              <w:top w:w="70" w:type="dxa"/>
              <w:bottom w:w="70" w:type="dxa"/>
              <w:left w:w="110" w:type="dxa"/>
              <w:right w:w="110" w:type="dxa"/>
            </w:tcMar>
            <w:vAlign w:val="center"/>
          </w:tcPr>
          <w:p>
            <w:pPr>
              <w:spacing w:after="0" w:before="0"/>
              <w:jc w:val="right"/>
            </w:pPr>
            <w:r>
              <w:rPr>
                <w:rFonts w:ascii="Calibri" w:hAnsi="Calibri"/>
                <w:color w:val="2C3E50"/>
                <w:sz w:val="19"/>
              </w:rPr>
              <w:t>float64</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Continuous</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Base metered fare in USD ($)</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&gt;= $2.50 (base flag drop)</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tip</w:t>
            </w:r>
          </w:p>
        </w:tc>
        <w:tc>
          <w:tcPr>
            <w:tcW w:type="dxa" w:w="1584"/>
            <w:shd w:fill="F8FAFC"/>
            <w:tcMar>
              <w:top w:w="70" w:type="dxa"/>
              <w:bottom w:w="70" w:type="dxa"/>
              <w:left w:w="110" w:type="dxa"/>
              <w:right w:w="110" w:type="dxa"/>
            </w:tcMar>
            <w:vAlign w:val="center"/>
          </w:tcPr>
          <w:p>
            <w:pPr>
              <w:spacing w:after="0" w:before="0"/>
              <w:jc w:val="right"/>
            </w:pPr>
            <w:r>
              <w:rPr>
                <w:rFonts w:ascii="Calibri" w:hAnsi="Calibri"/>
                <w:color w:val="2C3E50"/>
                <w:sz w:val="19"/>
              </w:rPr>
              <w:t>float64</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Continuous</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Discretionary tip paid via electronic meter</w:t>
            </w:r>
          </w:p>
        </w:tc>
        <w:tc>
          <w:tcPr>
            <w:tcW w:type="dxa" w:w="2016"/>
            <w:shd w:fill="F8FAFC"/>
            <w:tcMar>
              <w:top w:w="70" w:type="dxa"/>
              <w:bottom w:w="70" w:type="dxa"/>
              <w:left w:w="110" w:type="dxa"/>
              <w:right w:w="110" w:type="dxa"/>
            </w:tcMar>
            <w:vAlign w:val="center"/>
          </w:tcPr>
          <w:p>
            <w:pPr>
              <w:spacing w:after="0" w:before="0"/>
              <w:jc w:val="right"/>
            </w:pPr>
            <w:r>
              <w:rPr>
                <w:rFonts w:ascii="Calibri" w:hAnsi="Calibri"/>
                <w:color w:val="2C3E50"/>
                <w:sz w:val="19"/>
              </w:rPr>
              <w:t>&gt;= $0.00; valid on credit</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tolls</w:t>
            </w:r>
          </w:p>
        </w:tc>
        <w:tc>
          <w:tcPr>
            <w:tcW w:type="dxa" w:w="1584"/>
            <w:shd w:fill="FFFFFF"/>
            <w:tcMar>
              <w:top w:w="70" w:type="dxa"/>
              <w:bottom w:w="70" w:type="dxa"/>
              <w:left w:w="110" w:type="dxa"/>
              <w:right w:w="110" w:type="dxa"/>
            </w:tcMar>
            <w:vAlign w:val="center"/>
          </w:tcPr>
          <w:p>
            <w:pPr>
              <w:spacing w:after="0" w:before="0"/>
              <w:jc w:val="right"/>
            </w:pPr>
            <w:r>
              <w:rPr>
                <w:rFonts w:ascii="Calibri" w:hAnsi="Calibri"/>
                <w:color w:val="2C3E50"/>
                <w:sz w:val="19"/>
              </w:rPr>
              <w:t>float64</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Continuous</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Port Authority / MTA bridge and tunnel tolls</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&gt;= $0.00 (e.g. $5.76, $12.55)</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total</w:t>
            </w:r>
          </w:p>
        </w:tc>
        <w:tc>
          <w:tcPr>
            <w:tcW w:type="dxa" w:w="1584"/>
            <w:shd w:fill="F8FAFC"/>
            <w:tcMar>
              <w:top w:w="70" w:type="dxa"/>
              <w:bottom w:w="70" w:type="dxa"/>
              <w:left w:w="110" w:type="dxa"/>
              <w:right w:w="110" w:type="dxa"/>
            </w:tcMar>
            <w:vAlign w:val="center"/>
          </w:tcPr>
          <w:p>
            <w:pPr>
              <w:spacing w:after="0" w:before="0"/>
              <w:jc w:val="right"/>
            </w:pPr>
            <w:r>
              <w:rPr>
                <w:rFonts w:ascii="Calibri" w:hAnsi="Calibri"/>
                <w:color w:val="2C3E50"/>
                <w:sz w:val="19"/>
              </w:rPr>
              <w:t>float64</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Continuous</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Total monetary amount charged to rider</w:t>
            </w:r>
          </w:p>
        </w:tc>
        <w:tc>
          <w:tcPr>
            <w:tcW w:type="dxa" w:w="2016"/>
            <w:shd w:fill="F8FAFC"/>
            <w:tcMar>
              <w:top w:w="70" w:type="dxa"/>
              <w:bottom w:w="70" w:type="dxa"/>
              <w:left w:w="110" w:type="dxa"/>
              <w:right w:w="110" w:type="dxa"/>
            </w:tcMar>
            <w:vAlign w:val="center"/>
          </w:tcPr>
          <w:p>
            <w:pPr>
              <w:spacing w:after="0" w:before="0"/>
              <w:jc w:val="left"/>
            </w:pPr>
            <w:r>
              <w:rPr>
                <w:rFonts w:ascii="Calibri" w:hAnsi="Calibri"/>
                <w:color w:val="2C3E50"/>
                <w:sz w:val="19"/>
              </w:rPr>
              <w:t>fare + tip + tolls + extra</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color</w:t>
            </w:r>
          </w:p>
        </w:tc>
        <w:tc>
          <w:tcPr>
            <w:tcW w:type="dxa" w:w="1584"/>
            <w:shd w:fill="FFFFFF"/>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Nominal</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Taxi medallion class ('yellow' or 'green')</w:t>
            </w:r>
          </w:p>
        </w:tc>
        <w:tc>
          <w:tcPr>
            <w:tcW w:type="dxa" w:w="2016"/>
            <w:shd w:fill="FFFFFF"/>
            <w:tcMar>
              <w:top w:w="70" w:type="dxa"/>
              <w:bottom w:w="70" w:type="dxa"/>
              <w:left w:w="110" w:type="dxa"/>
              <w:right w:w="110" w:type="dxa"/>
            </w:tcMar>
            <w:vAlign w:val="center"/>
          </w:tcPr>
          <w:p>
            <w:pPr>
              <w:spacing w:after="0" w:before="0"/>
              <w:jc w:val="left"/>
            </w:pPr>
            <w:r>
              <w:rPr>
                <w:rFonts w:ascii="Calibri" w:hAnsi="Calibri"/>
                <w:color w:val="2C3E50"/>
                <w:sz w:val="19"/>
              </w:rPr>
              <w:t>{'yellow', 'green'}</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payment</w:t>
            </w:r>
          </w:p>
        </w:tc>
        <w:tc>
          <w:tcPr>
            <w:tcW w:type="dxa" w:w="1584"/>
            <w:shd w:fill="F8FAFC"/>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Nominal</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Payment method logged ('credit card', 'cash')</w:t>
            </w:r>
          </w:p>
        </w:tc>
        <w:tc>
          <w:tcPr>
            <w:tcW w:type="dxa" w:w="2016"/>
            <w:shd w:fill="F8FAFC"/>
            <w:tcMar>
              <w:top w:w="70" w:type="dxa"/>
              <w:bottom w:w="70" w:type="dxa"/>
              <w:left w:w="110" w:type="dxa"/>
              <w:right w:w="110" w:type="dxa"/>
            </w:tcMar>
            <w:vAlign w:val="center"/>
          </w:tcPr>
          <w:p>
            <w:pPr>
              <w:spacing w:after="0" w:before="0"/>
              <w:jc w:val="left"/>
            </w:pPr>
            <w:r>
              <w:rPr>
                <w:rFonts w:ascii="Calibri" w:hAnsi="Calibri"/>
                <w:color w:val="2C3E50"/>
                <w:sz w:val="19"/>
              </w:rPr>
              <w:t>{'credit card', 'cash'}</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pickup_zone</w:t>
            </w:r>
          </w:p>
        </w:tc>
        <w:tc>
          <w:tcPr>
            <w:tcW w:type="dxa" w:w="1584"/>
            <w:shd w:fill="FFFFFF"/>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Categorical</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TLC designated neighborhood pickup zone</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260+ standard TLC zones</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dropoff_zone</w:t>
            </w:r>
          </w:p>
        </w:tc>
        <w:tc>
          <w:tcPr>
            <w:tcW w:type="dxa" w:w="1584"/>
            <w:shd w:fill="F8FAFC"/>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Categorical</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TLC designated neighborhood dropoff zone</w:t>
            </w:r>
          </w:p>
        </w:tc>
        <w:tc>
          <w:tcPr>
            <w:tcW w:type="dxa" w:w="2016"/>
            <w:shd w:fill="F8FAFC"/>
            <w:tcMar>
              <w:top w:w="70" w:type="dxa"/>
              <w:bottom w:w="70" w:type="dxa"/>
              <w:left w:w="110" w:type="dxa"/>
              <w:right w:w="110" w:type="dxa"/>
            </w:tcMar>
            <w:vAlign w:val="center"/>
          </w:tcPr>
          <w:p>
            <w:pPr>
              <w:spacing w:after="0" w:before="0"/>
              <w:jc w:val="right"/>
            </w:pPr>
            <w:r>
              <w:rPr>
                <w:rFonts w:ascii="Calibri" w:hAnsi="Calibri"/>
                <w:color w:val="2C3E50"/>
                <w:sz w:val="19"/>
              </w:rPr>
              <w:t>260+ standard TLC zones</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pickup_borough</w:t>
            </w:r>
          </w:p>
        </w:tc>
        <w:tc>
          <w:tcPr>
            <w:tcW w:type="dxa" w:w="1584"/>
            <w:shd w:fill="FFFFFF"/>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Categorical</w:t>
            </w:r>
          </w:p>
        </w:tc>
        <w:tc>
          <w:tcPr>
            <w:tcW w:type="dxa" w:w="2592"/>
            <w:shd w:fill="FFFFFF"/>
            <w:tcMar>
              <w:top w:w="70" w:type="dxa"/>
              <w:bottom w:w="70" w:type="dxa"/>
              <w:left w:w="110" w:type="dxa"/>
              <w:right w:w="110" w:type="dxa"/>
            </w:tcMar>
            <w:vAlign w:val="center"/>
          </w:tcPr>
          <w:p>
            <w:pPr>
              <w:spacing w:after="0" w:before="0"/>
              <w:jc w:val="left"/>
            </w:pPr>
            <w:r>
              <w:rPr>
                <w:rFonts w:ascii="Calibri" w:hAnsi="Calibri"/>
                <w:color w:val="2C3E50"/>
                <w:sz w:val="19"/>
              </w:rPr>
              <w:t>NYC Borough of trip origin</w:t>
            </w:r>
          </w:p>
        </w:tc>
        <w:tc>
          <w:tcPr>
            <w:tcW w:type="dxa" w:w="2016"/>
            <w:shd w:fill="FFFFFF"/>
            <w:tcMar>
              <w:top w:w="70" w:type="dxa"/>
              <w:bottom w:w="70" w:type="dxa"/>
              <w:left w:w="110" w:type="dxa"/>
              <w:right w:w="110" w:type="dxa"/>
            </w:tcMar>
            <w:vAlign w:val="center"/>
          </w:tcPr>
          <w:p>
            <w:pPr>
              <w:spacing w:after="0" w:before="0"/>
              <w:jc w:val="left"/>
            </w:pPr>
            <w:r>
              <w:rPr>
                <w:rFonts w:ascii="Calibri" w:hAnsi="Calibri"/>
                <w:color w:val="2C3E50"/>
                <w:sz w:val="19"/>
              </w:rPr>
              <w:t>{Manhattan, Queens, Brooklyn...}</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dropoff_borough</w:t>
            </w:r>
          </w:p>
        </w:tc>
        <w:tc>
          <w:tcPr>
            <w:tcW w:type="dxa" w:w="1584"/>
            <w:shd w:fill="F8FAFC"/>
            <w:tcMar>
              <w:top w:w="70" w:type="dxa"/>
              <w:bottom w:w="70" w:type="dxa"/>
              <w:left w:w="110" w:type="dxa"/>
              <w:right w:w="110" w:type="dxa"/>
            </w:tcMar>
            <w:vAlign w:val="center"/>
          </w:tcPr>
          <w:p>
            <w:pPr>
              <w:spacing w:after="0" w:before="0"/>
              <w:jc w:val="left"/>
            </w:pPr>
            <w:r>
              <w:rPr>
                <w:rFonts w:ascii="Calibri" w:hAnsi="Calibri"/>
                <w:color w:val="2C3E50"/>
                <w:sz w:val="19"/>
              </w:rPr>
              <w:t>object (str)</w:t>
            </w:r>
          </w:p>
        </w:tc>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Categorical</w:t>
            </w:r>
          </w:p>
        </w:tc>
        <w:tc>
          <w:tcPr>
            <w:tcW w:type="dxa" w:w="2592"/>
            <w:shd w:fill="F8FAFC"/>
            <w:tcMar>
              <w:top w:w="70" w:type="dxa"/>
              <w:bottom w:w="70" w:type="dxa"/>
              <w:left w:w="110" w:type="dxa"/>
              <w:right w:w="110" w:type="dxa"/>
            </w:tcMar>
            <w:vAlign w:val="center"/>
          </w:tcPr>
          <w:p>
            <w:pPr>
              <w:spacing w:after="0" w:before="0"/>
              <w:jc w:val="left"/>
            </w:pPr>
            <w:r>
              <w:rPr>
                <w:rFonts w:ascii="Calibri" w:hAnsi="Calibri"/>
                <w:color w:val="2C3E50"/>
                <w:sz w:val="19"/>
              </w:rPr>
              <w:t>NYC Borough of trip destination</w:t>
            </w:r>
          </w:p>
        </w:tc>
        <w:tc>
          <w:tcPr>
            <w:tcW w:type="dxa" w:w="2016"/>
            <w:shd w:fill="F8FAFC"/>
            <w:tcMar>
              <w:top w:w="70" w:type="dxa"/>
              <w:bottom w:w="70" w:type="dxa"/>
              <w:left w:w="110" w:type="dxa"/>
              <w:right w:w="110" w:type="dxa"/>
            </w:tcMar>
            <w:vAlign w:val="center"/>
          </w:tcPr>
          <w:p>
            <w:pPr>
              <w:spacing w:after="0" w:before="0"/>
              <w:jc w:val="left"/>
            </w:pPr>
            <w:r>
              <w:rPr>
                <w:rFonts w:ascii="Calibri" w:hAnsi="Calibri"/>
                <w:color w:val="2C3E50"/>
                <w:sz w:val="19"/>
              </w:rPr>
              <w:t>{Manhattan, Queens, Brooklyn...}</w:t>
            </w:r>
          </w:p>
        </w:tc>
      </w:tr>
    </w:tbl>
    <w:p>
      <w:pPr>
        <w:spacing w:after="160"/>
      </w:pPr>
    </w:p>
    <w:p>
      <w:pPr>
        <w:keepNext/>
        <w:spacing w:before="280" w:after="120"/>
      </w:pPr>
      <w:r>
        <w:rPr>
          <w:rFonts w:ascii="Arial" w:hAnsi="Arial"/>
          <w:b/>
          <w:color w:val="336699"/>
          <w:sz w:val="27"/>
        </w:rPr>
        <w:t>1.3 Reproducible Data Acquisition Pipeline</w:t>
      </w:r>
    </w:p>
    <w:p>
      <w:pPr>
        <w:spacing w:after="120" w:line="276" w:lineRule="auto"/>
      </w:pPr>
      <w:r>
        <w:rPr>
          <w:rFonts w:ascii="Calibri" w:hAnsi="Calibri"/>
          <w:color w:val="2C3E50"/>
          <w:sz w:val="22"/>
        </w:rPr>
        <w:t>To ensure complete scientific reproducibility, the dataset was ingested programmatically using a dedicated Python routine. The acquisition script establishes strict logging, validates source integrity, and immediately preserves an immutable raw snapshot (`raw_taxis_data.csv`) prior to any downstream transformation.</w:t>
      </w:r>
    </w:p>
    <w:p>
      <w:pPr>
        <w:keepNext/>
        <w:spacing w:before="160" w:after="60"/>
      </w:pPr>
      <w:r>
        <w:rPr>
          <w:rFonts w:ascii="Arial" w:hAnsi="Arial"/>
          <w:b/>
          <w:color w:val="336699"/>
          <w:sz w:val="19"/>
        </w:rPr>
        <w:t>Listing: Automated Dataset Acquisition and Raw Freezing</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18" w:space="0" w:color="336699"/>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Script: Automated Dataset Acquisition and Integrity Validation</w:t>
              <w:br/>
              <w:t>import seaborn as sns</w:t>
              <w:br/>
              <w:t>import pandas as pd</w:t>
              <w:br/>
              <w:t>import os</w:t>
              <w:br/>
              <w:br/>
              <w:t>def acquire_and_freeze_raw_data(output_path='raw_taxis_data.csv'):</w:t>
              <w:br/>
              <w:t xml:space="preserve">    print('[INFO] Initiating ingestion from official Seaborn TLC mirror...')</w:t>
              <w:br/>
              <w:t xml:space="preserve">    raw_df = sns.load_dataset('taxis')</w:t>
              <w:br/>
              <w:t xml:space="preserve">    assert raw_df.shape == (6433, 14), 'Ingestion Error: Shape mismatch!'</w:t>
              <w:br/>
              <w:t xml:space="preserve">    raw_df.to_csv(output_path, index=False)</w:t>
              <w:br/>
              <w:t xml:space="preserve">    print(f'[SUCCESS] Raw dataset frozen at {output_path} | Shape: {raw_df.shape}')</w:t>
              <w:br/>
              <w:t xml:space="preserve">    return raw_df</w:t>
              <w:br/>
              <w:br/>
              <w:t>raw_dataset = acquire_and_freeze_raw_data()</w:t>
              <w:br/>
            </w:r>
          </w:p>
        </w:tc>
      </w:tr>
    </w:tbl>
    <w:p>
      <w:pPr>
        <w:spacing w:after="120"/>
      </w:pPr>
    </w:p>
    <w:p>
      <w:pPr>
        <w:keepNext/>
        <w:spacing w:before="400" w:after="160"/>
      </w:pPr>
      <w:r>
        <w:rPr>
          <w:rFonts w:ascii="Arial" w:hAnsi="Arial"/>
          <w:b/>
          <w:color w:val="1B365D"/>
          <w:sz w:val="34"/>
        </w:rPr>
        <w:t>2. Initial Exploratory Data Analysis &amp; Structural Quality Audit</w:t>
      </w:r>
    </w:p>
    <w:p>
      <w:pPr>
        <w:spacing w:after="120" w:line="276" w:lineRule="auto"/>
      </w:pPr>
      <w:r>
        <w:rPr>
          <w:rFonts w:ascii="Calibri" w:hAnsi="Calibri"/>
          <w:color w:val="2C3E50"/>
          <w:sz w:val="22"/>
        </w:rPr>
        <w:t>Before performing any data transformations, an exhaustive structural health check was conducted to understand the underlying empirical distributions, baseline central tendencies, dispersion parameters, and data hygiene indicators.</w:t>
      </w:r>
    </w:p>
    <w:p>
      <w:pPr>
        <w:keepNext/>
        <w:spacing w:before="280" w:after="120"/>
      </w:pPr>
      <w:r>
        <w:rPr>
          <w:rFonts w:ascii="Arial" w:hAnsi="Arial"/>
          <w:b/>
          <w:color w:val="336699"/>
          <w:sz w:val="27"/>
        </w:rPr>
        <w:t>2.1 Parametric &amp; Non-Parametric Summary Statistics</w:t>
      </w:r>
    </w:p>
    <w:p>
      <w:pPr>
        <w:spacing w:after="120" w:line="276" w:lineRule="auto"/>
      </w:pPr>
      <w:r>
        <w:rPr>
          <w:rFonts w:ascii="Calibri" w:hAnsi="Calibri"/>
          <w:color w:val="2C3E50"/>
          <w:sz w:val="22"/>
        </w:rPr>
        <w:t>Table 2 displays the baseline descriptive statistics computed across all continuous and discrete numerical variables in their raw, unmanipulated state. The presence of severe distribution skewness, massive standard deviations relative to the median, and biologically/physically questionable minima is immediately evident.</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936"/>
        <w:gridCol w:w="936"/>
        <w:gridCol w:w="936"/>
        <w:gridCol w:w="936"/>
        <w:gridCol w:w="936"/>
        <w:gridCol w:w="936"/>
        <w:gridCol w:w="936"/>
        <w:gridCol w:w="936"/>
        <w:gridCol w:w="936"/>
        <w:gridCol w:w="936"/>
      </w:tblGrid>
      <w:tr>
        <w:tc>
          <w:tcPr>
            <w:tcW w:type="dxa" w:w="1440"/>
            <w:shd w:fill="1B365D"/>
            <w:tcMar>
              <w:top w:w="100" w:type="dxa"/>
              <w:bottom w:w="100" w:type="dxa"/>
              <w:left w:w="120" w:type="dxa"/>
              <w:right w:w="120" w:type="dxa"/>
            </w:tcMar>
            <w:vAlign w:val="center"/>
          </w:tcPr>
          <w:p>
            <w:pPr>
              <w:spacing w:after="0" w:before="0"/>
              <w:jc w:val="center"/>
            </w:pPr>
            <w:r>
              <w:rPr>
                <w:rFonts w:ascii="Arial" w:hAnsi="Arial"/>
                <w:b/>
                <w:color w:val="FFFFFF"/>
                <w:sz w:val="19"/>
              </w:rPr>
              <w:t>Attribute</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Count</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Mean</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Std Dev</w:t>
            </w:r>
          </w:p>
        </w:tc>
        <w:tc>
          <w:tcPr>
            <w:tcW w:type="dxa" w:w="720"/>
            <w:shd w:fill="1B365D"/>
            <w:tcMar>
              <w:top w:w="100" w:type="dxa"/>
              <w:bottom w:w="100" w:type="dxa"/>
              <w:left w:w="120" w:type="dxa"/>
              <w:right w:w="120" w:type="dxa"/>
            </w:tcMar>
            <w:vAlign w:val="center"/>
          </w:tcPr>
          <w:p>
            <w:pPr>
              <w:spacing w:after="0" w:before="0"/>
              <w:jc w:val="center"/>
            </w:pPr>
            <w:r>
              <w:rPr>
                <w:rFonts w:ascii="Arial" w:hAnsi="Arial"/>
                <w:b/>
                <w:color w:val="FFFFFF"/>
                <w:sz w:val="19"/>
              </w:rPr>
              <w:t>Min</w:t>
            </w:r>
          </w:p>
        </w:tc>
        <w:tc>
          <w:tcPr>
            <w:tcW w:type="dxa" w:w="720"/>
            <w:shd w:fill="1B365D"/>
            <w:tcMar>
              <w:top w:w="100" w:type="dxa"/>
              <w:bottom w:w="100" w:type="dxa"/>
              <w:left w:w="120" w:type="dxa"/>
              <w:right w:w="120" w:type="dxa"/>
            </w:tcMar>
            <w:vAlign w:val="center"/>
          </w:tcPr>
          <w:p>
            <w:pPr>
              <w:spacing w:after="0" w:before="0"/>
              <w:jc w:val="center"/>
            </w:pPr>
            <w:r>
              <w:rPr>
                <w:rFonts w:ascii="Arial" w:hAnsi="Arial"/>
                <w:b/>
                <w:color w:val="FFFFFF"/>
                <w:sz w:val="19"/>
              </w:rPr>
              <w:t>25%</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Median</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75%</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Max</w:t>
            </w:r>
          </w:p>
        </w:tc>
        <w:tc>
          <w:tcPr>
            <w:tcW w:type="dxa" w:w="864"/>
            <w:shd w:fill="1B365D"/>
            <w:tcMar>
              <w:top w:w="100" w:type="dxa"/>
              <w:bottom w:w="100" w:type="dxa"/>
              <w:left w:w="120" w:type="dxa"/>
              <w:right w:w="120" w:type="dxa"/>
            </w:tcMar>
            <w:vAlign w:val="center"/>
          </w:tcPr>
          <w:p>
            <w:pPr>
              <w:spacing w:after="0" w:before="0"/>
              <w:jc w:val="center"/>
            </w:pPr>
            <w:r>
              <w:rPr>
                <w:rFonts w:ascii="Arial" w:hAnsi="Arial"/>
                <w:b/>
                <w:color w:val="FFFFFF"/>
                <w:sz w:val="19"/>
              </w:rPr>
              <w:t>Skewness</w:t>
            </w:r>
          </w:p>
        </w:tc>
      </w:tr>
      <w:tr>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passengers</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1.54</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1.20</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1.00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2.00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6.00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2.21</w:t>
            </w:r>
          </w:p>
        </w:tc>
      </w:tr>
      <w:tr>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distance</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3.02</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3.83</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0.99</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1.64</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3.21</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36.70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3.00</w:t>
            </w:r>
          </w:p>
        </w:tc>
      </w:tr>
      <w:tr>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fare</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13.09</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11.55</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1.00</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6.50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9.50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15.00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150.00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3.17</w:t>
            </w:r>
          </w:p>
        </w:tc>
      </w:tr>
      <w:tr>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tip</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1.98</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2.45</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1.70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2.80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33.20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2.98</w:t>
            </w:r>
          </w:p>
        </w:tc>
      </w:tr>
      <w:tr>
        <w:tc>
          <w:tcPr>
            <w:tcW w:type="dxa" w:w="1440"/>
            <w:shd w:fill="FFFFFF"/>
            <w:tcMar>
              <w:top w:w="70" w:type="dxa"/>
              <w:bottom w:w="70" w:type="dxa"/>
              <w:left w:w="110" w:type="dxa"/>
              <w:right w:w="110" w:type="dxa"/>
            </w:tcMar>
            <w:vAlign w:val="center"/>
          </w:tcPr>
          <w:p>
            <w:pPr>
              <w:spacing w:after="0" w:before="0"/>
              <w:jc w:val="left"/>
            </w:pPr>
            <w:r>
              <w:rPr>
                <w:rFonts w:ascii="Calibri" w:hAnsi="Calibri"/>
                <w:color w:val="2C3E50"/>
                <w:sz w:val="19"/>
              </w:rPr>
              <w:t>tolls</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0.33</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1.42</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720"/>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24.02</w:t>
            </w:r>
          </w:p>
        </w:tc>
        <w:tc>
          <w:tcPr>
            <w:tcW w:type="dxa" w:w="864"/>
            <w:shd w:fill="FFFFFF"/>
            <w:tcMar>
              <w:top w:w="70" w:type="dxa"/>
              <w:bottom w:w="70" w:type="dxa"/>
              <w:left w:w="110" w:type="dxa"/>
              <w:right w:w="110" w:type="dxa"/>
            </w:tcMar>
            <w:vAlign w:val="center"/>
          </w:tcPr>
          <w:p>
            <w:pPr>
              <w:spacing w:after="0" w:before="0"/>
              <w:jc w:val="right"/>
            </w:pPr>
            <w:r>
              <w:rPr>
                <w:rFonts w:ascii="Calibri" w:hAnsi="Calibri"/>
                <w:color w:val="2C3E50"/>
                <w:sz w:val="19"/>
              </w:rPr>
              <w:t>7.15</w:t>
            </w:r>
          </w:p>
        </w:tc>
      </w:tr>
      <w:tr>
        <w:tc>
          <w:tcPr>
            <w:tcW w:type="dxa" w:w="1440"/>
            <w:shd w:fill="F8FAFC"/>
            <w:tcMar>
              <w:top w:w="70" w:type="dxa"/>
              <w:bottom w:w="70" w:type="dxa"/>
              <w:left w:w="110" w:type="dxa"/>
              <w:right w:w="110" w:type="dxa"/>
            </w:tcMar>
            <w:vAlign w:val="center"/>
          </w:tcPr>
          <w:p>
            <w:pPr>
              <w:spacing w:after="0" w:before="0"/>
              <w:jc w:val="left"/>
            </w:pPr>
            <w:r>
              <w:rPr>
                <w:rFonts w:ascii="Calibri" w:hAnsi="Calibri"/>
                <w:color w:val="2C3E50"/>
                <w:sz w:val="19"/>
              </w:rPr>
              <w:t>total</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6433</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18.52</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13.82</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1.30</w:t>
            </w:r>
          </w:p>
        </w:tc>
        <w:tc>
          <w:tcPr>
            <w:tcW w:type="dxa" w:w="720"/>
            <w:shd w:fill="F8FAFC"/>
            <w:tcMar>
              <w:top w:w="70" w:type="dxa"/>
              <w:bottom w:w="70" w:type="dxa"/>
              <w:left w:w="110" w:type="dxa"/>
              <w:right w:w="110" w:type="dxa"/>
            </w:tcMar>
            <w:vAlign w:val="center"/>
          </w:tcPr>
          <w:p>
            <w:pPr>
              <w:spacing w:after="0" w:before="0"/>
              <w:jc w:val="right"/>
            </w:pPr>
            <w:r>
              <w:rPr>
                <w:rFonts w:ascii="Calibri" w:hAnsi="Calibri"/>
                <w:color w:val="2C3E50"/>
                <w:sz w:val="19"/>
              </w:rPr>
              <w:t>11.16</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14.50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20.30</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174.82</w:t>
            </w:r>
          </w:p>
        </w:tc>
        <w:tc>
          <w:tcPr>
            <w:tcW w:type="dxa" w:w="864"/>
            <w:shd w:fill="F8FAFC"/>
            <w:tcMar>
              <w:top w:w="70" w:type="dxa"/>
              <w:bottom w:w="70" w:type="dxa"/>
              <w:left w:w="110" w:type="dxa"/>
              <w:right w:w="110" w:type="dxa"/>
            </w:tcMar>
            <w:vAlign w:val="center"/>
          </w:tcPr>
          <w:p>
            <w:pPr>
              <w:spacing w:after="0" w:before="0"/>
              <w:jc w:val="right"/>
            </w:pPr>
            <w:r>
              <w:rPr>
                <w:rFonts w:ascii="Calibri" w:hAnsi="Calibri"/>
                <w:color w:val="2C3E50"/>
                <w:sz w:val="19"/>
              </w:rPr>
              <w:t>2.99</w:t>
            </w:r>
          </w:p>
        </w:tc>
      </w:tr>
    </w:tbl>
    <w:p>
      <w:pPr>
        <w:spacing w:after="160"/>
      </w:pPr>
    </w:p>
    <w:p>
      <w:pPr>
        <w:keepNext/>
        <w:spacing w:before="280" w:after="120"/>
      </w:pPr>
      <w:r>
        <w:rPr>
          <w:rFonts w:ascii="Arial" w:hAnsi="Arial"/>
          <w:b/>
          <w:color w:val="336699"/>
          <w:sz w:val="27"/>
        </w:rPr>
        <w:t>2.2 Missing Value Inventory &amp; Structural Deficits</w:t>
      </w:r>
    </w:p>
    <w:p>
      <w:pPr>
        <w:spacing w:after="120" w:line="276" w:lineRule="auto"/>
      </w:pPr>
      <w:r>
        <w:rPr>
          <w:rFonts w:ascii="Calibri" w:hAnsi="Calibri"/>
          <w:color w:val="2C3E50"/>
          <w:sz w:val="22"/>
        </w:rPr>
        <w:t>A systematic null scan reveals missing values confined to 5 specific categorical attributes. Exactly 45 records (0.70%) lack dropoff zone and borough definitions, 26 records (0.40%) lack pickup zone and borough metadata, and 44 records (0.68%) lack a recorded payment method. While 0.70% appears numerically minor, deleting these rows without investigation risks introducing substantial spatial and behavioral selection biases into downstream analyses.</w:t>
      </w:r>
    </w:p>
    <w:p>
      <w:pPr>
        <w:keepNext/>
        <w:spacing w:before="24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_missing_data_audit.png"/>
                    <pic:cNvPicPr/>
                  </pic:nvPicPr>
                  <pic:blipFill>
                    <a:blip r:embed="rId9"/>
                    <a:stretch>
                      <a:fillRect/>
                    </a:stretch>
                  </pic:blipFill>
                  <pic:spPr>
                    <a:xfrm>
                      <a:off x="0" y="0"/>
                      <a:ext cx="5486400" cy="2743200"/>
                    </a:xfrm>
                    <a:prstGeom prst="rect"/>
                  </pic:spPr>
                </pic:pic>
              </a:graphicData>
            </a:graphic>
          </wp:inline>
        </w:drawing>
      </w:r>
    </w:p>
    <w:p>
      <w:pPr>
        <w:spacing w:after="240"/>
        <w:jc w:val="center"/>
      </w:pPr>
      <w:r>
        <w:rPr>
          <w:rFonts w:ascii="Arial" w:hAnsi="Arial"/>
          <w:b/>
          <w:i/>
          <w:color w:val="336699"/>
          <w:sz w:val="19"/>
        </w:rPr>
        <w:t>Figure 1: Missing Value Distribution Across Attributes (Absolute Count &amp; Relative %)</w:t>
      </w:r>
    </w:p>
    <w:p>
      <w:pPr>
        <w:spacing w:after="120" w:line="276" w:lineRule="auto"/>
      </w:pPr>
      <w:r>
        <w:rPr>
          <w:rFonts w:ascii="Calibri" w:hAnsi="Calibri"/>
          <w:color w:val="2C3E50"/>
          <w:sz w:val="22"/>
        </w:rPr>
        <w:t>To inspect duplicate records, a primary key audit was conducted. Testing across the tuple of `(pickup, dropoff, distance, fare, total)` identified exactly 0 duplicate rows, confirming that every record represents an individual, discrete transaction.</w:t>
      </w:r>
    </w:p>
    <w:p>
      <w:pPr>
        <w:keepNext/>
        <w:spacing w:before="400" w:after="160"/>
      </w:pPr>
      <w:r>
        <w:rPr>
          <w:rFonts w:ascii="Arial" w:hAnsi="Arial"/>
          <w:b/>
          <w:color w:val="1B365D"/>
          <w:sz w:val="34"/>
        </w:rPr>
        <w:t>3. Missing Data Taxonomy &amp; Strategic Imputation Protocol</w:t>
      </w:r>
    </w:p>
    <w:p>
      <w:pPr>
        <w:spacing w:after="120" w:line="276" w:lineRule="auto"/>
      </w:pPr>
      <w:r>
        <w:rPr>
          <w:rFonts w:ascii="Calibri" w:hAnsi="Calibri"/>
          <w:color w:val="2C3E50"/>
          <w:sz w:val="22"/>
        </w:rPr>
        <w:t>In applied statistical learning, missing data cannot be addressed with a generic, one-size-fits-all rule. Donald Rubin's seminal framework categorizes missingness into three distinct theoretical mechanisms:</w:t>
      </w:r>
    </w:p>
    <w:p>
      <w:pPr>
        <w:pStyle w:val="ListBullet"/>
        <w:spacing w:after="80" w:line="276" w:lineRule="auto"/>
      </w:pPr>
      <w:r>
        <w:rPr>
          <w:rFonts w:ascii="Calibri" w:hAnsi="Calibri"/>
          <w:b/>
          <w:color w:val="2C3E50"/>
          <w:sz w:val="22"/>
        </w:rPr>
        <w:t xml:space="preserve">1. MCAR (Missing Completely at Random): </w:t>
      </w:r>
      <w:r>
        <w:rPr>
          <w:rFonts w:ascii="Calibri" w:hAnsi="Calibri"/>
          <w:color w:val="2C3E50"/>
          <w:sz w:val="22"/>
        </w:rPr>
        <w:t>Missing Completely at Random (MCAR): The probability of a data point being missing is entirely independent of both observed covariates and unobserved missing values. Removing MCAR observations reduces sample efficiency but does not bias point estimates.</w:t>
      </w:r>
    </w:p>
    <w:p>
      <w:pPr>
        <w:pStyle w:val="ListBullet"/>
        <w:spacing w:after="80" w:line="276" w:lineRule="auto"/>
      </w:pPr>
      <w:r>
        <w:rPr>
          <w:rFonts w:ascii="Calibri" w:hAnsi="Calibri"/>
          <w:b/>
          <w:color w:val="2C3E50"/>
          <w:sz w:val="22"/>
        </w:rPr>
        <w:t xml:space="preserve">2. MAR (Missing at Random): </w:t>
      </w:r>
      <w:r>
        <w:rPr>
          <w:rFonts w:ascii="Calibri" w:hAnsi="Calibri"/>
          <w:color w:val="2C3E50"/>
          <w:sz w:val="22"/>
        </w:rPr>
        <w:t>Missing at Random (MAR): The probability of missingness depends systematically on other observed variables in the dataset, but not on the missing value itself. MAR requires conditional imputation techniques (e.g. regression or KNN) to avoid inferential bias.</w:t>
      </w:r>
    </w:p>
    <w:p>
      <w:pPr>
        <w:pStyle w:val="ListBullet"/>
        <w:spacing w:after="80" w:line="276" w:lineRule="auto"/>
      </w:pPr>
      <w:r>
        <w:rPr>
          <w:rFonts w:ascii="Calibri" w:hAnsi="Calibri"/>
          <w:b/>
          <w:color w:val="2C3E50"/>
          <w:sz w:val="22"/>
        </w:rPr>
        <w:t xml:space="preserve">3. MNAR (Missing Not at Random): </w:t>
      </w:r>
      <w:r>
        <w:rPr>
          <w:rFonts w:ascii="Calibri" w:hAnsi="Calibri"/>
          <w:color w:val="2C3E50"/>
          <w:sz w:val="22"/>
        </w:rPr>
        <w:t>Missing Not at Random (MNAR): Missingness is directly related to the unobserved value itself or a latent confounding variable. Imputing or ignoring MNAR without domain modeling induces catastrophic systematic bias.</w:t>
      </w:r>
    </w:p>
    <w:p>
      <w:pPr>
        <w:keepNext/>
        <w:spacing w:before="280" w:after="120"/>
      </w:pPr>
      <w:r>
        <w:rPr>
          <w:rFonts w:ascii="Arial" w:hAnsi="Arial"/>
          <w:b/>
          <w:color w:val="336699"/>
          <w:sz w:val="27"/>
        </w:rPr>
        <w:t>3.1 Spatial Attribute Missingness (Zones and Boroughs)</w:t>
      </w:r>
    </w:p>
    <w:p>
      <w:pPr>
        <w:spacing w:after="120" w:line="276" w:lineRule="auto"/>
      </w:pPr>
      <w:r>
        <w:rPr>
          <w:rFonts w:ascii="Calibri" w:hAnsi="Calibri"/>
          <w:color w:val="2C3E50"/>
          <w:sz w:val="22"/>
        </w:rPr>
        <w:t>An in-depth spatial examination shows that missing `pickup_zone` (26 rows) and `dropoff_zone` (45 rows) occur when trips originate or terminate in geographic areas outside official TLC taxi polygon boundaries (e.g., cross-border trips into Westchester County, Long Island, Newark, New Jersey, or unmarked waterfront terminals). Because these points correspond to genuine trips that simply transgress municipal taxi boundaries, this missingness represents MAR conditioned on travel distance and toll presence.</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left w:val="single" w:sz="24" w:space="0" w:color="1B365D"/>
              <w:top w:val="none"/>
              <w:right w:val="none"/>
              <w:bottom w:val="none"/>
            </w:tcBorders>
          </w:tcPr>
          <w:p>
            <w:pPr>
              <w:spacing w:after="80"/>
            </w:pPr>
            <w:r>
              <w:rPr>
                <w:rFonts w:ascii="Arial" w:hAnsi="Arial"/>
                <w:b/>
                <w:color w:val="1B365D"/>
                <w:sz w:val="20"/>
              </w:rPr>
              <w:t>★ STRATEGIC DECISION: EXPLICIT 'UNKNOWN' SPATIAL IMPUTATION</w:t>
              <w:br/>
            </w:r>
            <w:r>
              <w:rPr>
                <w:rFonts w:ascii="Calibri" w:hAnsi="Calibri"/>
                <w:i/>
                <w:color w:val="2C3E50"/>
                <w:sz w:val="20"/>
              </w:rPr>
              <w:t>Critical Rationale: If an analyst blindly executes `df.dropna()` on spatial columns, they systematically purge long-distance, high-toll interstate trips from the training set! To prevent this severe geographic truncation bias, we retain all records and impute missing spatial categories with an explicit 'Unknown' token. This preserves vital economic variance while allowing machine learning models to learn that unzoned destinations correlate with higher fares and highway tolls.</w:t>
            </w:r>
          </w:p>
        </w:tc>
      </w:tr>
    </w:tbl>
    <w:p>
      <w:pPr>
        <w:spacing w:after="120"/>
      </w:pPr>
    </w:p>
    <w:p>
      <w:pPr>
        <w:keepNext/>
        <w:spacing w:before="280" w:after="120"/>
      </w:pPr>
      <w:r>
        <w:rPr>
          <w:rFonts w:ascii="Arial" w:hAnsi="Arial"/>
          <w:b/>
          <w:color w:val="336699"/>
          <w:sz w:val="27"/>
        </w:rPr>
        <w:t>3.2 Missing Payment Method &amp; Domain Heuristic Resolution</w:t>
      </w:r>
    </w:p>
    <w:p>
      <w:pPr>
        <w:spacing w:after="120" w:line="276" w:lineRule="auto"/>
      </w:pPr>
      <w:r>
        <w:rPr>
          <w:rFonts w:ascii="Calibri" w:hAnsi="Calibri"/>
          <w:color w:val="2C3E50"/>
          <w:sz w:val="22"/>
        </w:rPr>
        <w:t>Exactly 44 observations are missing the `payment` feature. To determine whether these records could be salvaged, we cross-tabulated the missing payment subset against the `tip` attribute. Remarkably, 100% of the 44 missing payment rows recorded an exact tip of $0.00! As proven in Section 4, credit card rides almost universally carry an electronic tip, whereas cash tips are always logged as $0.00. This confirms that the missing payment records are structurally aligned with cash transactions. However, to maintain absolute audit integrity and avoid synthetic overconfidence, we impute these values with an explicit 'unknown' category rather than forcing a synthetic 'cash' label.</w:t>
      </w:r>
    </w:p>
    <w:p>
      <w:pPr>
        <w:keepNext/>
        <w:spacing w:before="160" w:after="60"/>
      </w:pPr>
      <w:r>
        <w:rPr>
          <w:rFonts w:ascii="Arial" w:hAnsi="Arial"/>
          <w:b/>
          <w:color w:val="336699"/>
          <w:sz w:val="19"/>
        </w:rPr>
        <w:t>Listing: Strategic Missing Value Imputation Routine</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18" w:space="0" w:color="336699"/>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Script: Robust Imputation Pipeline</w:t>
              <w:br/>
              <w:t>def impute_missing_features(df):</w:t>
              <w:br/>
              <w:t xml:space="preserve">    clean = df.copy()</w:t>
              <w:br/>
              <w:t xml:space="preserve">    # Preserve spatial records by explicitly encoding missing administrative zones</w:t>
              <w:br/>
              <w:t xml:space="preserve">    spatial_cols = ['pickup_zone', 'dropoff_zone', 'pickup_borough', 'dropoff_borough']</w:t>
              <w:br/>
              <w:t xml:space="preserve">    for col in spatial_cols:</w:t>
              <w:br/>
              <w:t xml:space="preserve">        clean[col] = clean[col].fillna('Unknown')</w:t>
              <w:br/>
              <w:t xml:space="preserve">        </w:t>
              <w:br/>
              <w:t xml:space="preserve">    # Impute missing payment methods with audited 'unknown' category</w:t>
              <w:br/>
              <w:t xml:space="preserve">    clean['payment'] = clean['payment'].fillna('unknown')</w:t>
              <w:br/>
              <w:t xml:space="preserve">    </w:t>
              <w:br/>
              <w:t xml:space="preserve">    print(f'[AUDIT] Remaining null values after imputation: {clean.isnull().sum().sum()}')</w:t>
              <w:br/>
              <w:t xml:space="preserve">    return clean</w:t>
              <w:br/>
            </w:r>
          </w:p>
        </w:tc>
      </w:tr>
    </w:tbl>
    <w:p>
      <w:pPr>
        <w:spacing w:after="120"/>
      </w:pPr>
    </w:p>
    <w:p>
      <w:pPr>
        <w:keepNext/>
        <w:spacing w:before="400" w:after="160"/>
      </w:pPr>
      <w:r>
        <w:rPr>
          <w:rFonts w:ascii="Arial" w:hAnsi="Arial"/>
          <w:b/>
          <w:color w:val="1B365D"/>
          <w:sz w:val="34"/>
        </w:rPr>
        <w:t>4. Empirical Discovery: The Systemic Tip Censoring Anomaly</w:t>
      </w:r>
    </w:p>
    <w:p>
      <w:pPr>
        <w:spacing w:after="120" w:line="276" w:lineRule="auto"/>
      </w:pPr>
      <w:r>
        <w:rPr>
          <w:rFonts w:ascii="Calibri" w:hAnsi="Calibri"/>
          <w:color w:val="2C3E50"/>
          <w:sz w:val="22"/>
        </w:rPr>
        <w:t>A central finding of this investigation—and one that is frequently overlooked by naive data practitioners—is the presence of a severe domain-specific data generation artifact in the `tip` feature. An empirical distribution audit revealed that out of 1,812 cash transactions in the dataset, exactly 1,812 (100.0%) logged a recorded tip of $0.00! In contrast, credit card transactions exhibited a healthy, right-skewed tip distribution with a mean of $2.78 and a maximum of $33.20.</w:t>
      </w:r>
    </w:p>
    <w:p>
      <w:pPr>
        <w:keepNext/>
        <w:spacing w:before="240" w:after="80"/>
        <w:jc w:val="center"/>
      </w:pPr>
      <w:r>
        <w:drawing>
          <wp:inline xmlns:a="http://schemas.openxmlformats.org/drawingml/2006/main" xmlns:pic="http://schemas.openxmlformats.org/drawingml/2006/picture">
            <wp:extent cx="5486400" cy="2493818"/>
            <wp:docPr id="2" name="Picture 2"/>
            <wp:cNvGraphicFramePr>
              <a:graphicFrameLocks noChangeAspect="1"/>
            </wp:cNvGraphicFramePr>
            <a:graphic>
              <a:graphicData uri="http://schemas.openxmlformats.org/drawingml/2006/picture">
                <pic:pic>
                  <pic:nvPicPr>
                    <pic:cNvPr id="0" name="fig3_cash_vs_credit_tip_distortion.png"/>
                    <pic:cNvPicPr/>
                  </pic:nvPicPr>
                  <pic:blipFill>
                    <a:blip r:embed="rId10"/>
                    <a:stretch>
                      <a:fillRect/>
                    </a:stretch>
                  </pic:blipFill>
                  <pic:spPr>
                    <a:xfrm>
                      <a:off x="0" y="0"/>
                      <a:ext cx="5486400" cy="2493818"/>
                    </a:xfrm>
                    <a:prstGeom prst="rect"/>
                  </pic:spPr>
                </pic:pic>
              </a:graphicData>
            </a:graphic>
          </wp:inline>
        </w:drawing>
      </w:r>
    </w:p>
    <w:p>
      <w:pPr>
        <w:spacing w:after="240"/>
        <w:jc w:val="center"/>
      </w:pPr>
      <w:r>
        <w:rPr>
          <w:rFonts w:ascii="Arial" w:hAnsi="Arial"/>
          <w:b/>
          <w:i/>
          <w:color w:val="336699"/>
          <w:sz w:val="19"/>
        </w:rPr>
        <w:t>Figure 3: Empirical Demonstration of Domain Missingness / Systemic Tip Censoring in Cash Transactions</w:t>
      </w:r>
    </w:p>
    <w:p>
      <w:pPr>
        <w:keepNext/>
        <w:spacing w:before="280" w:after="120"/>
      </w:pPr>
      <w:r>
        <w:rPr>
          <w:rFonts w:ascii="Arial" w:hAnsi="Arial"/>
          <w:b/>
          <w:color w:val="336699"/>
          <w:sz w:val="27"/>
        </w:rPr>
        <w:t>4.1 Hardware Architecture and In-Vehicle Meter Protocols</w:t>
      </w:r>
    </w:p>
    <w:p>
      <w:pPr>
        <w:spacing w:after="120" w:line="276" w:lineRule="auto"/>
      </w:pPr>
      <w:r>
        <w:rPr>
          <w:rFonts w:ascii="Calibri" w:hAnsi="Calibri"/>
          <w:color w:val="2C3E50"/>
          <w:sz w:val="22"/>
        </w:rPr>
        <w:t>This phenomenon is not a reflection of passenger stinginess; it is an architectural limitation of the TLC point-of-sale hardware. When a passenger pays via credit card, the transaction is processed through the in-cabin Verifone/CMT terminal, where preset tip percentages (15%, 20%, 25%) are logged electronically into the digital ledger. However, when a passenger pays in cash, any gratuity is handed directly to the driver in physical currency. The driver is not required to manually key in cash tips on the meter before closing the ticket. Consequently, the electronic dispatch record automatically defaults cash tips to $0.00.</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left w:val="single" w:sz="24" w:space="0" w:color="1B365D"/>
              <w:top w:val="none"/>
              <w:right w:val="none"/>
              <w:bottom w:val="none"/>
            </w:tcBorders>
          </w:tcPr>
          <w:p>
            <w:pPr>
              <w:spacing w:after="80"/>
            </w:pPr>
            <w:r>
              <w:rPr>
                <w:rFonts w:ascii="Arial" w:hAnsi="Arial"/>
                <w:b/>
                <w:color w:val="1B365D"/>
                <w:sz w:val="20"/>
              </w:rPr>
              <w:t>★ ANALYTICAL PRECAUTION: AVOID POOLING CASH AND CREDIT TIPS</w:t>
              <w:br/>
            </w:r>
            <w:r>
              <w:rPr>
                <w:rFonts w:ascii="Calibri" w:hAnsi="Calibri"/>
                <w:i/>
                <w:color w:val="2C3E50"/>
                <w:sz w:val="20"/>
              </w:rPr>
              <w:t>Analytical Implication: The recorded cash tip is an extreme example of Systemic Left-Censoring (Missing Not at Random). Treating cash tips of $0.00 as authentic zeros in regression or econometric modeling causes massive negative attenuation bias! Any model attempting to predict tip behavior MUST either: (1) Condition exclusively on credit card transactions, or (2) Formulate a Two-Stage Heckman Selection Model to adjust for payment modality.</w:t>
            </w:r>
          </w:p>
        </w:tc>
      </w:tr>
    </w:tbl>
    <w:p>
      <w:pPr>
        <w:spacing w:after="120"/>
      </w:pPr>
    </w:p>
    <w:p>
      <w:pPr>
        <w:keepNext/>
        <w:spacing w:before="400" w:after="160"/>
      </w:pPr>
      <w:r>
        <w:rPr>
          <w:rFonts w:ascii="Arial" w:hAnsi="Arial"/>
          <w:b/>
          <w:color w:val="1B365D"/>
          <w:sz w:val="34"/>
        </w:rPr>
        <w:t>5. Detection &amp; Remediation of Erroneous Entries &amp; Logical Inconsistencies</w:t>
      </w:r>
    </w:p>
    <w:p>
      <w:pPr>
        <w:spacing w:after="120" w:line="276" w:lineRule="auto"/>
      </w:pPr>
      <w:r>
        <w:rPr>
          <w:rFonts w:ascii="Calibri" w:hAnsi="Calibri"/>
          <w:color w:val="2C3E50"/>
          <w:sz w:val="22"/>
        </w:rPr>
        <w:t>Beyond missing data, raw transactional telemetry invariably suffers from hardware glitches, GPS signal attenuation, driver operational omissions, and clock drift. A multi-stage consistency validation engine was engineered to detect and resolve five distinct categories of logical contradictions.</w:t>
      </w:r>
    </w:p>
    <w:p>
      <w:pPr>
        <w:keepNext/>
        <w:spacing w:before="240" w:after="8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2_data_inconsistency_audit.png"/>
                    <pic:cNvPicPr/>
                  </pic:nvPicPr>
                  <pic:blipFill>
                    <a:blip r:embed="rId11"/>
                    <a:stretch>
                      <a:fillRect/>
                    </a:stretch>
                  </pic:blipFill>
                  <pic:spPr>
                    <a:xfrm>
                      <a:off x="0" y="0"/>
                      <a:ext cx="5486400" cy="2743200"/>
                    </a:xfrm>
                    <a:prstGeom prst="rect"/>
                  </pic:spPr>
                </pic:pic>
              </a:graphicData>
            </a:graphic>
          </wp:inline>
        </w:drawing>
      </w:r>
    </w:p>
    <w:p>
      <w:pPr>
        <w:spacing w:after="240"/>
        <w:jc w:val="center"/>
      </w:pPr>
      <w:r>
        <w:rPr>
          <w:rFonts w:ascii="Arial" w:hAnsi="Arial"/>
          <w:b/>
          <w:i/>
          <w:color w:val="336699"/>
          <w:sz w:val="19"/>
        </w:rPr>
        <w:t>Figure 2: Frequency of Erroneous Entries &amp; Logical Inconsistencies Detected in Raw Telemetry</w:t>
      </w:r>
    </w:p>
    <w:p>
      <w:pPr>
        <w:keepNext/>
        <w:spacing w:before="280" w:after="120"/>
      </w:pPr>
      <w:r>
        <w:rPr>
          <w:rFonts w:ascii="Arial" w:hAnsi="Arial"/>
          <w:b/>
          <w:color w:val="336699"/>
          <w:sz w:val="27"/>
        </w:rPr>
        <w:t>5.1 Logical Contradiction 1: Zero-Passenger Rides (96 occurrences)</w:t>
      </w:r>
    </w:p>
    <w:p>
      <w:pPr>
        <w:spacing w:after="120" w:line="276" w:lineRule="auto"/>
      </w:pPr>
      <w:r>
        <w:rPr>
          <w:rFonts w:ascii="Calibri" w:hAnsi="Calibri"/>
          <w:color w:val="2C3E50"/>
          <w:sz w:val="22"/>
        </w:rPr>
        <w:t>Ninety-six trips (1.49% of the dataset) recorded a passenger count of 0, despite logging substantial travel distances and fares. Physical cabs cannot operate without an occupant, unless the trip represents a package courier service, a meter left running during deadheading, or a driver who failed to engage the physical overhead seat sensor. Because commercial passenger trips dominate NYC operations, treating these as missing driver inputs and imputing them with the statistical mode (1 passenger) rectifies the defect without discarding valuable economic observations.</w:t>
      </w:r>
    </w:p>
    <w:p>
      <w:pPr>
        <w:keepNext/>
        <w:spacing w:before="280" w:after="120"/>
      </w:pPr>
      <w:r>
        <w:rPr>
          <w:rFonts w:ascii="Arial" w:hAnsi="Arial"/>
          <w:b/>
          <w:color w:val="336699"/>
          <w:sz w:val="27"/>
        </w:rPr>
        <w:t>5.2 Logical Contradiction 2: Zero-Distance Trips with Fares (51 occurrences)</w:t>
      </w:r>
    </w:p>
    <w:p>
      <w:pPr>
        <w:spacing w:after="120" w:line="276" w:lineRule="auto"/>
      </w:pPr>
      <w:r>
        <w:rPr>
          <w:rFonts w:ascii="Calibri" w:hAnsi="Calibri"/>
          <w:color w:val="2C3E50"/>
          <w:sz w:val="22"/>
        </w:rPr>
        <w:t>Fifty-one trips recorded an odometer distance of exactly 0.00 miles, yet incurred fares ranging up to $25.00! These events represent two distinct real-world failure modes: (a) Immediate trip cancellations where the flag-drop fee ($2.50) was charged after passenger boarding, or (b) GPS receiver failure in dense Midtown Manhattan 'urban canyons' where skyscraper multipath interference prevents satellite lock. Trips with 0.00 distance provide zero spatial velocity signal for regression models and were filtered from the training corpus.</w:t>
      </w:r>
    </w:p>
    <w:p>
      <w:pPr>
        <w:keepNext/>
        <w:spacing w:before="280" w:after="120"/>
      </w:pPr>
      <w:r>
        <w:rPr>
          <w:rFonts w:ascii="Arial" w:hAnsi="Arial"/>
          <w:b/>
          <w:color w:val="336699"/>
          <w:sz w:val="27"/>
        </w:rPr>
        <w:t>5.3 Logical Contradiction 3: Temporal Paradoxes (6 occurrences)</w:t>
      </w:r>
    </w:p>
    <w:p>
      <w:pPr>
        <w:spacing w:after="120" w:line="276" w:lineRule="auto"/>
      </w:pPr>
      <w:r>
        <w:rPr>
          <w:rFonts w:ascii="Calibri" w:hAnsi="Calibri"/>
          <w:color w:val="2C3E50"/>
          <w:sz w:val="22"/>
        </w:rPr>
        <w:t>Six records exhibited non-positive trip durations (`dropoff &lt;= pickup`), including trips with identical start and end timestamps. These contradictions arise from in-vehicle terminal clock synchronization latency or manual driver resets. A physical trip must have a non-zero duration. A strict temporal validity threshold of `0.5 minutes &lt;= duration &lt;= 180 minutes` was enforced.</w:t>
      </w:r>
    </w:p>
    <w:p>
      <w:pPr>
        <w:keepNext/>
        <w:spacing w:before="280" w:after="120"/>
      </w:pPr>
      <w:r>
        <w:rPr>
          <w:rFonts w:ascii="Arial" w:hAnsi="Arial"/>
          <w:b/>
          <w:color w:val="336699"/>
          <w:sz w:val="27"/>
        </w:rPr>
        <w:t>5.4 Logical Contradiction 4: Kinematic Velocity Violations (13 occurrences)</w:t>
      </w:r>
    </w:p>
    <w:p>
      <w:pPr>
        <w:spacing w:after="120" w:line="276" w:lineRule="auto"/>
      </w:pPr>
      <w:r>
        <w:rPr>
          <w:rFonts w:ascii="Calibri" w:hAnsi="Calibri"/>
          <w:color w:val="2C3E50"/>
          <w:sz w:val="22"/>
        </w:rPr>
        <w:t>To detect subtle physical impossibilities that pass univariate checks, we derived the instantaneous average trip velocity: $$\text{Velocity (mph)} = \frac{\text{Distance (miles)}}{\text{Duration (minutes)} / 60}$$In congested New York City traffic, speeds exceeding 75 mph are physically impossible for medallion taxis. Eleven trips exhibited average velocities between 76 mph and 142 mph (e.g., traveling 12 miles in 5 minutes). These represent GPS coordinates jumping across cell towers. Additionally, 2 trips logged durations exceeding 30 minutes with speeds below 0.2 mph, representing abandoned running meters. Both extremes violate physical transport dynamics and were purged.</w:t>
      </w:r>
    </w:p>
    <w:p>
      <w:pPr>
        <w:keepNext/>
        <w:spacing w:before="280" w:after="120"/>
      </w:pPr>
      <w:r>
        <w:rPr>
          <w:rFonts w:ascii="Arial" w:hAnsi="Arial"/>
          <w:b/>
          <w:color w:val="336699"/>
          <w:sz w:val="27"/>
        </w:rPr>
        <w:t>5.5 Logical Contradiction 5: Fare &amp; Surcharge Accounting Reconciliation</w:t>
      </w:r>
    </w:p>
    <w:p>
      <w:pPr>
        <w:spacing w:after="120" w:line="276" w:lineRule="auto"/>
      </w:pPr>
      <w:r>
        <w:rPr>
          <w:rFonts w:ascii="Calibri" w:hAnsi="Calibri"/>
          <w:color w:val="2C3E50"/>
          <w:sz w:val="22"/>
        </w:rPr>
        <w:t>An accounting audit reconciled the relationship between `total` and component charges. Under NYC TLC regulations, $$\text{Total} = \text{Fare} + \text{Tip} + \text{Tolls} + \text{Surcharges}$$Analyzing the residual $(\text{Total} - (\text{Fare} + \text{Tip} + \text{Tolls}))$ revealed that 100% of non-zero residuals corresponded precisely to regulated NYC municipal fees: $0.50 MTA Tax, $0.30 Improvement Surcharge, $2.50 Congestion Surcharge (introduced in 2019 for trips below 96th St in Manhattan), and $1.00 weekday rush-hour surcharges. This confirmed that the financial columns maintain 100% internal mathematical consistency, with no rogue unmetered debits.</w:t>
      </w:r>
    </w:p>
    <w:p>
      <w:pPr>
        <w:keepNext/>
        <w:spacing w:before="160" w:after="60"/>
      </w:pPr>
      <w:r>
        <w:rPr>
          <w:rFonts w:ascii="Arial" w:hAnsi="Arial"/>
          <w:b/>
          <w:color w:val="336699"/>
          <w:sz w:val="19"/>
        </w:rPr>
        <w:t>Listing: Logical Inconsistency Rectification Engine</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18" w:space="0" w:color="336699"/>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Script: Multi-Stage Consistency Rectification Engine</w:t>
              <w:br/>
              <w:t>def rectify_logical_inconsistencies(df):</w:t>
              <w:br/>
              <w:t xml:space="preserve">    c = df.copy()</w:t>
              <w:br/>
              <w:t xml:space="preserve">    # 1. Compute duration in minutes</w:t>
              <w:br/>
              <w:t xml:space="preserve">    c['duration_min'] = (c['dropoff'] - c['pickup']).dt.total_seconds() / 60.0</w:t>
              <w:br/>
              <w:t xml:space="preserve">    </w:t>
              <w:br/>
              <w:t xml:space="preserve">    # 2. Filter physical duration and distance violations</w:t>
              <w:br/>
              <w:t xml:space="preserve">    valid_trips = (</w:t>
              <w:br/>
              <w:t xml:space="preserve">        (c['duration_min'] &gt;= 0.5) &amp; (c['duration_min'] &lt;= 180.0) &amp;</w:t>
              <w:br/>
              <w:t xml:space="preserve">        (c['distance'] &gt;= 0.05) &amp; (c['fare'] &gt;= 2.0)</w:t>
              <w:br/>
              <w:t xml:space="preserve">    )</w:t>
              <w:br/>
              <w:t xml:space="preserve">    c = c[valid_trips].copy()</w:t>
              <w:br/>
              <w:t xml:space="preserve">    </w:t>
              <w:br/>
              <w:t xml:space="preserve">    # 3. Rectify 0-passenger rides with domain modal baseline (1)</w:t>
              <w:br/>
              <w:t xml:space="preserve">    c.loc[c['passengers'] == 0, 'passengers'] = 1</w:t>
              <w:br/>
              <w:t xml:space="preserve">    </w:t>
              <w:br/>
              <w:t xml:space="preserve">    # 4. Kinematic velocity filtering (NYC urban speed limits)</w:t>
              <w:br/>
              <w:t xml:space="preserve">    c['speed_mph'] = c['distance'] / (c['duration_min'] / 60.0)</w:t>
              <w:br/>
              <w:t xml:space="preserve">    speed_valid = (c['speed_mph'] &lt;= 75.0) &amp; ~((c['speed_mph'] &lt; 0.2) &amp; (c['duration_min'] &gt; 30.0))</w:t>
              <w:br/>
              <w:t xml:space="preserve">    c = c[speed_valid].copy()</w:t>
              <w:br/>
              <w:t xml:space="preserve">    </w:t>
              <w:br/>
              <w:t xml:space="preserve">    return c</w:t>
              <w:br/>
            </w:r>
          </w:p>
        </w:tc>
      </w:tr>
    </w:tbl>
    <w:p>
      <w:pPr>
        <w:spacing w:after="120"/>
      </w:pPr>
    </w:p>
    <w:p>
      <w:pPr>
        <w:keepNext/>
        <w:spacing w:before="400" w:after="160"/>
      </w:pPr>
      <w:r>
        <w:rPr>
          <w:rFonts w:ascii="Arial" w:hAnsi="Arial"/>
          <w:b/>
          <w:color w:val="1B365D"/>
          <w:sz w:val="34"/>
        </w:rPr>
        <w:t>6. Outlier Diagnostics: Univariate, Bivariate &amp; Multivariate Perspectives</w:t>
      </w:r>
    </w:p>
    <w:p>
      <w:pPr>
        <w:spacing w:after="120" w:line="276" w:lineRule="auto"/>
      </w:pPr>
      <w:r>
        <w:rPr>
          <w:rFonts w:ascii="Calibri" w:hAnsi="Calibri"/>
          <w:color w:val="2C3E50"/>
          <w:sz w:val="22"/>
        </w:rPr>
        <w:t>Outliers in urban transportation data present a delicate methodological dilemma. An extreme value may represent a genuine long-distance trip (such as an executive chartering a cab from Manhattan to the Hamptons or JFK Airport) or it may represent a corrupted digital record. Indiscriminately purging every statistical outlier eliminates the very high-leverage data points that convey essential real-world variance.</w:t>
      </w:r>
    </w:p>
    <w:p>
      <w:pPr>
        <w:keepNext/>
        <w:spacing w:before="280" w:after="120"/>
      </w:pPr>
      <w:r>
        <w:rPr>
          <w:rFonts w:ascii="Arial" w:hAnsi="Arial"/>
          <w:b/>
          <w:color w:val="336699"/>
          <w:sz w:val="27"/>
        </w:rPr>
        <w:t>6.1 Univariate Outlier Detection via Tukey Fences</w:t>
      </w:r>
    </w:p>
    <w:p>
      <w:pPr>
        <w:spacing w:after="120" w:line="276" w:lineRule="auto"/>
      </w:pPr>
      <w:r>
        <w:rPr>
          <w:rFonts w:ascii="Calibri" w:hAnsi="Calibri"/>
          <w:color w:val="2C3E50"/>
          <w:sz w:val="22"/>
        </w:rPr>
        <w:t>We first established classical non-parametric Tukey Fences based on the Interquartile Range (IQR): $$\text{Upper Fence} = Q_3 + 1.5 \times \text{IQR}, \quad \text{Lower Fence} = \max(0, Q_1 - 1.5 \times \text{IQR})$$Table 3 summarizes the upper statistical boundaries and the proportion of observations exceeding these thresholds.</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1337"/>
        <w:gridCol w:w="1337"/>
        <w:gridCol w:w="1337"/>
        <w:gridCol w:w="1337"/>
        <w:gridCol w:w="1337"/>
        <w:gridCol w:w="1337"/>
        <w:gridCol w:w="1337"/>
      </w:tblGrid>
      <w:tr>
        <w:tc>
          <w:tcPr>
            <w:tcW w:type="dxa" w:w="1728"/>
            <w:shd w:fill="1B365D"/>
            <w:tcMar>
              <w:top w:w="100" w:type="dxa"/>
              <w:bottom w:w="100" w:type="dxa"/>
              <w:left w:w="120" w:type="dxa"/>
              <w:right w:w="120" w:type="dxa"/>
            </w:tcMar>
            <w:vAlign w:val="center"/>
          </w:tcPr>
          <w:p>
            <w:pPr>
              <w:spacing w:after="0" w:before="0"/>
              <w:jc w:val="center"/>
            </w:pPr>
            <w:r>
              <w:rPr>
                <w:rFonts w:ascii="Arial" w:hAnsi="Arial"/>
                <w:b/>
                <w:color w:val="FFFFFF"/>
                <w:sz w:val="19"/>
              </w:rPr>
              <w:t>Attribute</w:t>
            </w:r>
          </w:p>
        </w:tc>
        <w:tc>
          <w:tcPr>
            <w:tcW w:type="dxa" w:w="1152"/>
            <w:shd w:fill="1B365D"/>
            <w:tcMar>
              <w:top w:w="100" w:type="dxa"/>
              <w:bottom w:w="100" w:type="dxa"/>
              <w:left w:w="120" w:type="dxa"/>
              <w:right w:w="120" w:type="dxa"/>
            </w:tcMar>
            <w:vAlign w:val="center"/>
          </w:tcPr>
          <w:p>
            <w:pPr>
              <w:spacing w:after="0" w:before="0"/>
              <w:jc w:val="center"/>
            </w:pPr>
            <w:r>
              <w:rPr>
                <w:rFonts w:ascii="Arial" w:hAnsi="Arial"/>
                <w:b/>
                <w:color w:val="FFFFFF"/>
                <w:sz w:val="19"/>
              </w:rPr>
              <w:t>Q1 (25%)</w:t>
            </w:r>
          </w:p>
        </w:tc>
        <w:tc>
          <w:tcPr>
            <w:tcW w:type="dxa" w:w="1152"/>
            <w:shd w:fill="1B365D"/>
            <w:tcMar>
              <w:top w:w="100" w:type="dxa"/>
              <w:bottom w:w="100" w:type="dxa"/>
              <w:left w:w="120" w:type="dxa"/>
              <w:right w:w="120" w:type="dxa"/>
            </w:tcMar>
            <w:vAlign w:val="center"/>
          </w:tcPr>
          <w:p>
            <w:pPr>
              <w:spacing w:after="0" w:before="0"/>
              <w:jc w:val="center"/>
            </w:pPr>
            <w:r>
              <w:rPr>
                <w:rFonts w:ascii="Arial" w:hAnsi="Arial"/>
                <w:b/>
                <w:color w:val="FFFFFF"/>
                <w:sz w:val="19"/>
              </w:rPr>
              <w:t>Q3 (75%)</w:t>
            </w:r>
          </w:p>
        </w:tc>
        <w:tc>
          <w:tcPr>
            <w:tcW w:type="dxa" w:w="1152"/>
            <w:shd w:fill="1B365D"/>
            <w:tcMar>
              <w:top w:w="100" w:type="dxa"/>
              <w:bottom w:w="100" w:type="dxa"/>
              <w:left w:w="120" w:type="dxa"/>
              <w:right w:w="120" w:type="dxa"/>
            </w:tcMar>
            <w:vAlign w:val="center"/>
          </w:tcPr>
          <w:p>
            <w:pPr>
              <w:spacing w:after="0" w:before="0"/>
              <w:jc w:val="center"/>
            </w:pPr>
            <w:r>
              <w:rPr>
                <w:rFonts w:ascii="Arial" w:hAnsi="Arial"/>
                <w:b/>
                <w:color w:val="FFFFFF"/>
                <w:sz w:val="19"/>
              </w:rPr>
              <w:t>IQR</w:t>
            </w:r>
          </w:p>
        </w:tc>
        <w:tc>
          <w:tcPr>
            <w:tcW w:type="dxa" w:w="1728"/>
            <w:shd w:fill="1B365D"/>
            <w:tcMar>
              <w:top w:w="100" w:type="dxa"/>
              <w:bottom w:w="100" w:type="dxa"/>
              <w:left w:w="120" w:type="dxa"/>
              <w:right w:w="120" w:type="dxa"/>
            </w:tcMar>
            <w:vAlign w:val="center"/>
          </w:tcPr>
          <w:p>
            <w:pPr>
              <w:spacing w:after="0" w:before="0"/>
              <w:jc w:val="center"/>
            </w:pPr>
            <w:r>
              <w:rPr>
                <w:rFonts w:ascii="Arial" w:hAnsi="Arial"/>
                <w:b/>
                <w:color w:val="FFFFFF"/>
                <w:sz w:val="19"/>
              </w:rPr>
              <w:t>Upper Tukey Fence</w:t>
            </w:r>
          </w:p>
        </w:tc>
        <w:tc>
          <w:tcPr>
            <w:tcW w:type="dxa" w:w="1296"/>
            <w:shd w:fill="1B365D"/>
            <w:tcMar>
              <w:top w:w="100" w:type="dxa"/>
              <w:bottom w:w="100" w:type="dxa"/>
              <w:left w:w="120" w:type="dxa"/>
              <w:right w:w="120" w:type="dxa"/>
            </w:tcMar>
            <w:vAlign w:val="center"/>
          </w:tcPr>
          <w:p>
            <w:pPr>
              <w:spacing w:after="0" w:before="0"/>
              <w:jc w:val="center"/>
            </w:pPr>
            <w:r>
              <w:rPr>
                <w:rFonts w:ascii="Arial" w:hAnsi="Arial"/>
                <w:b/>
                <w:color w:val="FFFFFF"/>
                <w:sz w:val="19"/>
              </w:rPr>
              <w:t>Outlier Count</w:t>
            </w:r>
          </w:p>
        </w:tc>
        <w:tc>
          <w:tcPr>
            <w:tcW w:type="dxa" w:w="1152"/>
            <w:shd w:fill="1B365D"/>
            <w:tcMar>
              <w:top w:w="100" w:type="dxa"/>
              <w:bottom w:w="100" w:type="dxa"/>
              <w:left w:w="120" w:type="dxa"/>
              <w:right w:w="120" w:type="dxa"/>
            </w:tcMar>
            <w:vAlign w:val="center"/>
          </w:tcPr>
          <w:p>
            <w:pPr>
              <w:spacing w:after="0" w:before="0"/>
              <w:jc w:val="center"/>
            </w:pPr>
            <w:r>
              <w:rPr>
                <w:rFonts w:ascii="Arial" w:hAnsi="Arial"/>
                <w:b/>
                <w:color w:val="FFFFFF"/>
                <w:sz w:val="19"/>
              </w:rPr>
              <w:t>Outlier %</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distance</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0.99 mi</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3.21 mi</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2.22 mi</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6.54 mi</w:t>
            </w:r>
          </w:p>
        </w:tc>
        <w:tc>
          <w:tcPr>
            <w:tcW w:type="dxa" w:w="1296"/>
            <w:shd w:fill="FFFFFF"/>
            <w:tcMar>
              <w:top w:w="70" w:type="dxa"/>
              <w:bottom w:w="70" w:type="dxa"/>
              <w:left w:w="110" w:type="dxa"/>
              <w:right w:w="110" w:type="dxa"/>
            </w:tcMar>
            <w:vAlign w:val="center"/>
          </w:tcPr>
          <w:p>
            <w:pPr>
              <w:spacing w:after="0" w:before="0"/>
              <w:jc w:val="right"/>
            </w:pPr>
            <w:r>
              <w:rPr>
                <w:rFonts w:ascii="Calibri" w:hAnsi="Calibri"/>
                <w:color w:val="2C3E50"/>
                <w:sz w:val="19"/>
              </w:rPr>
              <w:t>722</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11.35%</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fare</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$6.50</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$15.00</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$8.50</w:t>
            </w:r>
          </w:p>
        </w:tc>
        <w:tc>
          <w:tcPr>
            <w:tcW w:type="dxa" w:w="1728"/>
            <w:shd w:fill="F8FAFC"/>
            <w:tcMar>
              <w:top w:w="70" w:type="dxa"/>
              <w:bottom w:w="70" w:type="dxa"/>
              <w:left w:w="110" w:type="dxa"/>
              <w:right w:w="110" w:type="dxa"/>
            </w:tcMar>
            <w:vAlign w:val="center"/>
          </w:tcPr>
          <w:p>
            <w:pPr>
              <w:spacing w:after="0" w:before="0"/>
              <w:jc w:val="right"/>
            </w:pPr>
            <w:r>
              <w:rPr>
                <w:rFonts w:ascii="Calibri" w:hAnsi="Calibri"/>
                <w:color w:val="2C3E50"/>
                <w:sz w:val="19"/>
              </w:rPr>
              <w:t>$27.75</w:t>
            </w:r>
          </w:p>
        </w:tc>
        <w:tc>
          <w:tcPr>
            <w:tcW w:type="dxa" w:w="1296"/>
            <w:shd w:fill="F8FAFC"/>
            <w:tcMar>
              <w:top w:w="70" w:type="dxa"/>
              <w:bottom w:w="70" w:type="dxa"/>
              <w:left w:w="110" w:type="dxa"/>
              <w:right w:w="110" w:type="dxa"/>
            </w:tcMar>
            <w:vAlign w:val="center"/>
          </w:tcPr>
          <w:p>
            <w:pPr>
              <w:spacing w:after="0" w:before="0"/>
              <w:jc w:val="right"/>
            </w:pPr>
            <w:r>
              <w:rPr>
                <w:rFonts w:ascii="Calibri" w:hAnsi="Calibri"/>
                <w:color w:val="2C3E50"/>
                <w:sz w:val="19"/>
              </w:rPr>
              <w:t>576</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9.06%</w:t>
            </w:r>
          </w:p>
        </w:tc>
      </w:tr>
      <w:tr>
        <w:tc>
          <w:tcPr>
            <w:tcW w:type="dxa" w:w="1728"/>
            <w:shd w:fill="FFFFFF"/>
            <w:tcMar>
              <w:top w:w="70" w:type="dxa"/>
              <w:bottom w:w="70" w:type="dxa"/>
              <w:left w:w="110" w:type="dxa"/>
              <w:right w:w="110" w:type="dxa"/>
            </w:tcMar>
            <w:vAlign w:val="center"/>
          </w:tcPr>
          <w:p>
            <w:pPr>
              <w:spacing w:after="0" w:before="0"/>
              <w:jc w:val="left"/>
            </w:pPr>
            <w:r>
              <w:rPr>
                <w:rFonts w:ascii="Calibri" w:hAnsi="Calibri"/>
                <w:color w:val="2C3E50"/>
                <w:sz w:val="19"/>
              </w:rPr>
              <w:t>tip</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$0.00</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$2.80</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$2.80</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$7.00</w:t>
            </w:r>
          </w:p>
        </w:tc>
        <w:tc>
          <w:tcPr>
            <w:tcW w:type="dxa" w:w="1296"/>
            <w:shd w:fill="FFFFFF"/>
            <w:tcMar>
              <w:top w:w="70" w:type="dxa"/>
              <w:bottom w:w="70" w:type="dxa"/>
              <w:left w:w="110" w:type="dxa"/>
              <w:right w:w="110" w:type="dxa"/>
            </w:tcMar>
            <w:vAlign w:val="center"/>
          </w:tcPr>
          <w:p>
            <w:pPr>
              <w:spacing w:after="0" w:before="0"/>
              <w:jc w:val="right"/>
            </w:pPr>
            <w:r>
              <w:rPr>
                <w:rFonts w:ascii="Calibri" w:hAnsi="Calibri"/>
                <w:color w:val="2C3E50"/>
                <w:sz w:val="19"/>
              </w:rPr>
              <w:t>265</w:t>
            </w:r>
          </w:p>
        </w:tc>
        <w:tc>
          <w:tcPr>
            <w:tcW w:type="dxa" w:w="1152"/>
            <w:shd w:fill="FFFFFF"/>
            <w:tcMar>
              <w:top w:w="70" w:type="dxa"/>
              <w:bottom w:w="70" w:type="dxa"/>
              <w:left w:w="110" w:type="dxa"/>
              <w:right w:w="110" w:type="dxa"/>
            </w:tcMar>
            <w:vAlign w:val="center"/>
          </w:tcPr>
          <w:p>
            <w:pPr>
              <w:spacing w:after="0" w:before="0"/>
              <w:jc w:val="right"/>
            </w:pPr>
            <w:r>
              <w:rPr>
                <w:rFonts w:ascii="Calibri" w:hAnsi="Calibri"/>
                <w:color w:val="2C3E50"/>
                <w:sz w:val="19"/>
              </w:rPr>
              <w:t>4.17%</w:t>
            </w:r>
          </w:p>
        </w:tc>
      </w:tr>
      <w:tr>
        <w:tc>
          <w:tcPr>
            <w:tcW w:type="dxa" w:w="1728"/>
            <w:shd w:fill="F8FAFC"/>
            <w:tcMar>
              <w:top w:w="70" w:type="dxa"/>
              <w:bottom w:w="70" w:type="dxa"/>
              <w:left w:w="110" w:type="dxa"/>
              <w:right w:w="110" w:type="dxa"/>
            </w:tcMar>
            <w:vAlign w:val="center"/>
          </w:tcPr>
          <w:p>
            <w:pPr>
              <w:spacing w:after="0" w:before="0"/>
              <w:jc w:val="left"/>
            </w:pPr>
            <w:r>
              <w:rPr>
                <w:rFonts w:ascii="Calibri" w:hAnsi="Calibri"/>
                <w:color w:val="2C3E50"/>
                <w:sz w:val="19"/>
              </w:rPr>
              <w:t>total</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$11.16</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$20.30</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$9.14</w:t>
            </w:r>
          </w:p>
        </w:tc>
        <w:tc>
          <w:tcPr>
            <w:tcW w:type="dxa" w:w="1728"/>
            <w:shd w:fill="F8FAFC"/>
            <w:tcMar>
              <w:top w:w="70" w:type="dxa"/>
              <w:bottom w:w="70" w:type="dxa"/>
              <w:left w:w="110" w:type="dxa"/>
              <w:right w:w="110" w:type="dxa"/>
            </w:tcMar>
            <w:vAlign w:val="center"/>
          </w:tcPr>
          <w:p>
            <w:pPr>
              <w:spacing w:after="0" w:before="0"/>
              <w:jc w:val="right"/>
            </w:pPr>
            <w:r>
              <w:rPr>
                <w:rFonts w:ascii="Calibri" w:hAnsi="Calibri"/>
                <w:color w:val="2C3E50"/>
                <w:sz w:val="19"/>
              </w:rPr>
              <w:t>$34.01</w:t>
            </w:r>
          </w:p>
        </w:tc>
        <w:tc>
          <w:tcPr>
            <w:tcW w:type="dxa" w:w="1296"/>
            <w:shd w:fill="F8FAFC"/>
            <w:tcMar>
              <w:top w:w="70" w:type="dxa"/>
              <w:bottom w:w="70" w:type="dxa"/>
              <w:left w:w="110" w:type="dxa"/>
              <w:right w:w="110" w:type="dxa"/>
            </w:tcMar>
            <w:vAlign w:val="center"/>
          </w:tcPr>
          <w:p>
            <w:pPr>
              <w:spacing w:after="0" w:before="0"/>
              <w:jc w:val="right"/>
            </w:pPr>
            <w:r>
              <w:rPr>
                <w:rFonts w:ascii="Calibri" w:hAnsi="Calibri"/>
                <w:color w:val="2C3E50"/>
                <w:sz w:val="19"/>
              </w:rPr>
              <w:t>584</w:t>
            </w:r>
          </w:p>
        </w:tc>
        <w:tc>
          <w:tcPr>
            <w:tcW w:type="dxa" w:w="1152"/>
            <w:shd w:fill="F8FAFC"/>
            <w:tcMar>
              <w:top w:w="70" w:type="dxa"/>
              <w:bottom w:w="70" w:type="dxa"/>
              <w:left w:w="110" w:type="dxa"/>
              <w:right w:w="110" w:type="dxa"/>
            </w:tcMar>
            <w:vAlign w:val="center"/>
          </w:tcPr>
          <w:p>
            <w:pPr>
              <w:spacing w:after="0" w:before="0"/>
              <w:jc w:val="right"/>
            </w:pPr>
            <w:r>
              <w:rPr>
                <w:rFonts w:ascii="Calibri" w:hAnsi="Calibri"/>
                <w:color w:val="2C3E50"/>
                <w:sz w:val="19"/>
              </w:rPr>
              <w:t>9.18%</w:t>
            </w:r>
          </w:p>
        </w:tc>
      </w:tr>
    </w:tbl>
    <w:p>
      <w:pPr>
        <w:spacing w:after="160"/>
      </w:pPr>
    </w:p>
    <w:p>
      <w:pPr>
        <w:keepNext/>
        <w:spacing w:before="240" w:after="80"/>
        <w:jc w:val="center"/>
      </w:pPr>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fig4_univariate_outlier_boxplots.png"/>
                    <pic:cNvPicPr/>
                  </pic:nvPicPr>
                  <pic:blipFill>
                    <a:blip r:embed="rId12"/>
                    <a:stretch>
                      <a:fillRect/>
                    </a:stretch>
                  </pic:blipFill>
                  <pic:spPr>
                    <a:xfrm>
                      <a:off x="0" y="0"/>
                      <a:ext cx="5486400" cy="3990109"/>
                    </a:xfrm>
                    <a:prstGeom prst="rect"/>
                  </pic:spPr>
                </pic:pic>
              </a:graphicData>
            </a:graphic>
          </wp:inline>
        </w:drawing>
      </w:r>
    </w:p>
    <w:p>
      <w:pPr>
        <w:spacing w:after="240"/>
        <w:jc w:val="center"/>
      </w:pPr>
      <w:r>
        <w:rPr>
          <w:rFonts w:ascii="Arial" w:hAnsi="Arial"/>
          <w:b/>
          <w:i/>
          <w:color w:val="336699"/>
          <w:sz w:val="19"/>
        </w:rPr>
        <w:t>Figure 4: Univariate Outlier Detection via Tukey Boxplots Showing Heavy Right Tails Across Four Primary Metrics</w:t>
      </w:r>
    </w:p>
    <w:p>
      <w:pPr>
        <w:keepNext/>
        <w:spacing w:before="280" w:after="120"/>
      </w:pPr>
      <w:r>
        <w:rPr>
          <w:rFonts w:ascii="Arial" w:hAnsi="Arial"/>
          <w:b/>
          <w:color w:val="336699"/>
          <w:sz w:val="27"/>
        </w:rPr>
        <w:t>6.2 Multivariate Outlier Detection via Isolation Forest</w:t>
      </w:r>
    </w:p>
    <w:p>
      <w:pPr>
        <w:spacing w:after="120" w:line="276" w:lineRule="auto"/>
      </w:pPr>
      <w:r>
        <w:rPr>
          <w:rFonts w:ascii="Calibri" w:hAnsi="Calibri"/>
          <w:color w:val="2C3E50"/>
          <w:sz w:val="22"/>
        </w:rPr>
        <w:t>Univariate methods fail to detect multidimensional anomalies—for example, a ride traveling only 0.2 miles that charges $85.00 (a massive pricing error), or a trip traveling 30 miles that charges only $4.00. Neither 0.2 miles nor $4.00 is an outlier in isolation, but their joint occurrence represents an extreme multivariate anomaly.</w:t>
      </w:r>
    </w:p>
    <w:p>
      <w:pPr>
        <w:spacing w:after="120" w:line="276" w:lineRule="auto"/>
      </w:pPr>
      <w:r>
        <w:rPr>
          <w:rFonts w:ascii="Calibri" w:hAnsi="Calibri"/>
          <w:color w:val="2C3E50"/>
          <w:sz w:val="22"/>
        </w:rPr>
        <w:t>To capture these complex non-linear co-dependencies, we deployed an Isolation Forest (iForest) ensemble. Isolation Forest constructs an ensemble of randomized binary trees, isolating anomalies based on the principle that rare, aberrant points require significantly shorter average path lengths to isolate than normal cluster inliers: $$s(x, n) = 2^{-\frac{E(h(x))}{c(n)}}$$Operating across standardized features `(distance, fare, duration_min, total)` with a tuned contamination rate of 1.5%, the algorithm isolated exactly 96 multi-dimensional anomalies.</w:t>
      </w:r>
    </w:p>
    <w:p>
      <w:pPr>
        <w:keepNext/>
        <w:spacing w:before="24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5_multivariate_outliers_isolation_forest.png"/>
                    <pic:cNvPicPr/>
                  </pic:nvPicPr>
                  <pic:blipFill>
                    <a:blip r:embed="rId13"/>
                    <a:stretch>
                      <a:fillRect/>
                    </a:stretch>
                  </pic:blipFill>
                  <pic:spPr>
                    <a:xfrm>
                      <a:off x="0" y="0"/>
                      <a:ext cx="5486400" cy="3291840"/>
                    </a:xfrm>
                    <a:prstGeom prst="rect"/>
                  </pic:spPr>
                </pic:pic>
              </a:graphicData>
            </a:graphic>
          </wp:inline>
        </w:drawing>
      </w:r>
    </w:p>
    <w:p>
      <w:pPr>
        <w:spacing w:after="240"/>
        <w:jc w:val="center"/>
      </w:pPr>
      <w:r>
        <w:rPr>
          <w:rFonts w:ascii="Arial" w:hAnsi="Arial"/>
          <w:b/>
          <w:i/>
          <w:color w:val="336699"/>
          <w:sz w:val="19"/>
        </w:rPr>
        <w:t>Figure 5: Multivariate Outlier Detection via Isolation Forest Isolating Bivariate Distance-Fare Contradictions</w:t>
      </w:r>
    </w:p>
    <w:p>
      <w:pPr>
        <w:keepNext/>
        <w:spacing w:before="280" w:after="120"/>
      </w:pPr>
      <w:r>
        <w:rPr>
          <w:rFonts w:ascii="Arial" w:hAnsi="Arial"/>
          <w:b/>
          <w:color w:val="336699"/>
          <w:sz w:val="27"/>
        </w:rPr>
        <w:t>6.3 Outlier Remediation: Soft Winsorization vs Catastrophic Trimming</w:t>
      </w:r>
    </w:p>
    <w:p>
      <w:pPr>
        <w:spacing w:after="120" w:line="276" w:lineRule="auto"/>
      </w:pPr>
      <w:r>
        <w:rPr>
          <w:rFonts w:ascii="Calibri" w:hAnsi="Calibri"/>
          <w:color w:val="2C3E50"/>
          <w:sz w:val="22"/>
        </w:rPr>
        <w:t>Rather than discarding 11.35% of the dataset—which would severely distort sample representativeness and discard valid high-fare airport transit—we implemented an advanced Soft Winsorization strategy. Continuous features were capped at their empirical 99.5th percentile: Distance at 23.4 miles, Fare at $70.00, Tip at $16.50, and Duration at 65.2 minutes. This mitigates excessive gradient pulling during gradient descent and neural network training while preserving 100% of legitimate records.</w:t>
      </w:r>
    </w:p>
    <w:p>
      <w:pPr>
        <w:keepNext/>
        <w:spacing w:before="400" w:after="160"/>
      </w:pPr>
      <w:r>
        <w:rPr>
          <w:rFonts w:ascii="Arial" w:hAnsi="Arial"/>
          <w:b/>
          <w:color w:val="1B365D"/>
          <w:sz w:val="34"/>
        </w:rPr>
        <w:t>7. Advanced Feature Engineering &amp; Mathematical Transformations</w:t>
      </w:r>
    </w:p>
    <w:p>
      <w:pPr>
        <w:spacing w:after="120" w:line="276" w:lineRule="auto"/>
      </w:pPr>
      <w:r>
        <w:rPr>
          <w:rFonts w:ascii="Calibri" w:hAnsi="Calibri"/>
          <w:color w:val="2C3E50"/>
          <w:sz w:val="22"/>
        </w:rPr>
        <w:t>Raw features rarely provide optimal predictive representations. Domain-specific feature engineering constructs richer latent signals that capture temporal seasonality, spatial transitions, and economic pricing rates.</w:t>
      </w:r>
    </w:p>
    <w:p>
      <w:pPr>
        <w:keepNext/>
        <w:spacing w:before="280" w:after="120"/>
      </w:pPr>
      <w:r>
        <w:rPr>
          <w:rFonts w:ascii="Arial" w:hAnsi="Arial"/>
          <w:b/>
          <w:color w:val="336699"/>
          <w:sz w:val="27"/>
        </w:rPr>
        <w:t>7.1 Domain Feature Construction</w:t>
      </w:r>
    </w:p>
    <w:p>
      <w:pPr>
        <w:pStyle w:val="ListBullet"/>
        <w:spacing w:after="80" w:line="276" w:lineRule="auto"/>
      </w:pPr>
      <w:r>
        <w:rPr>
          <w:rFonts w:ascii="Calibri" w:hAnsi="Calibri"/>
          <w:b/>
          <w:color w:val="2C3E50"/>
          <w:sz w:val="22"/>
        </w:rPr>
        <w:t xml:space="preserve">1. Temporal Dynamics: </w:t>
      </w:r>
      <w:r>
        <w:rPr>
          <w:rFonts w:ascii="Calibri" w:hAnsi="Calibri"/>
          <w:color w:val="2C3E50"/>
          <w:sz w:val="22"/>
        </w:rPr>
        <w:t>Temporal Seasonality: Extracted `pickup_hour` (0-23), `pickup_day_of_week` (0-6), `pickup_day_name`, and `is_weekend`. Engineered a binary `is_rush_hour` flag active during peak commuting hours (Monday-Friday 07:00-09:00 and 16:00-19:00), capturing predictable metropolitan traffic congestion patterns.</w:t>
      </w:r>
    </w:p>
    <w:p>
      <w:pPr>
        <w:pStyle w:val="ListBullet"/>
        <w:spacing w:after="80" w:line="276" w:lineRule="auto"/>
      </w:pPr>
      <w:r>
        <w:rPr>
          <w:rFonts w:ascii="Calibri" w:hAnsi="Calibri"/>
          <w:b/>
          <w:color w:val="2C3E50"/>
          <w:sz w:val="22"/>
        </w:rPr>
        <w:t xml:space="preserve">2. Spatial Geography: </w:t>
      </w:r>
      <w:r>
        <w:rPr>
          <w:rFonts w:ascii="Calibri" w:hAnsi="Calibri"/>
          <w:color w:val="2C3E50"/>
          <w:sz w:val="22"/>
        </w:rPr>
        <w:t>Spatial Transitions: Formulated `is_cross_borough` ($pickup\_borough \ne dropoff\_borough$). Cross-borough trips involve bridge/tunnel crossings, higher base distances, and distinct traffic dynamics. Engineered `is_airport_trip` via regular expression pattern matching on 'Airport|JFK|LaGuardia' across pickup and dropoff zone strings to capture fixed flat-rate airport tariffs ($52 flat fee).</w:t>
      </w:r>
    </w:p>
    <w:p>
      <w:pPr>
        <w:pStyle w:val="ListBullet"/>
        <w:spacing w:after="80" w:line="276" w:lineRule="auto"/>
      </w:pPr>
      <w:r>
        <w:rPr>
          <w:rFonts w:ascii="Calibri" w:hAnsi="Calibri"/>
          <w:b/>
          <w:color w:val="2C3E50"/>
          <w:sz w:val="22"/>
        </w:rPr>
        <w:t xml:space="preserve">3. Operational Rates: </w:t>
      </w:r>
      <w:r>
        <w:rPr>
          <w:rFonts w:ascii="Calibri" w:hAnsi="Calibri"/>
          <w:color w:val="2C3E50"/>
          <w:sz w:val="22"/>
        </w:rPr>
        <w:t>Economic &amp; Kinematic Rates: Formulated `fare_per_mile` ($\text{Fare}/\text{Distance}$) and `fare_per_minute` ($\text{Fare}/\text{Duration}$), providing direct indicators of traffic velocity and meter revenue density.</w:t>
      </w:r>
    </w:p>
    <w:p>
      <w:pPr>
        <w:keepNext/>
        <w:spacing w:before="280" w:after="120"/>
      </w:pPr>
      <w:r>
        <w:rPr>
          <w:rFonts w:ascii="Arial" w:hAnsi="Arial"/>
          <w:b/>
          <w:color w:val="336699"/>
          <w:sz w:val="27"/>
        </w:rPr>
        <w:t>7.2 Skewness Mitigation via Log1p Normalization</w:t>
      </w:r>
    </w:p>
    <w:p>
      <w:pPr>
        <w:spacing w:after="120" w:line="276" w:lineRule="auto"/>
      </w:pPr>
      <w:r>
        <w:rPr>
          <w:rFonts w:ascii="Calibri" w:hAnsi="Calibri"/>
          <w:color w:val="2C3E50"/>
          <w:sz w:val="22"/>
        </w:rPr>
        <w:t>Parametric estimators (Ordinary Least Squares, Ridge, Lasso) assume normally distributed residuals. Features like `distance`, `fare`, and `total` exhibit severe positive right skewness (skewness &gt; 3.0), causing linear models to overfit heavy tail points. We applied the natural logarithmic transformation: $$y = \ln(1 + x)$$Table 4 demonstrates the dramatic variance stabilization achieved across all primary continuous metrics.</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2016"/>
            <w:shd w:fill="1B365D"/>
            <w:tcMar>
              <w:top w:w="100" w:type="dxa"/>
              <w:bottom w:w="100" w:type="dxa"/>
              <w:left w:w="120" w:type="dxa"/>
              <w:right w:w="120" w:type="dxa"/>
            </w:tcMar>
            <w:vAlign w:val="center"/>
          </w:tcPr>
          <w:p>
            <w:pPr>
              <w:spacing w:after="0" w:before="0"/>
              <w:jc w:val="center"/>
            </w:pPr>
            <w:r>
              <w:rPr>
                <w:rFonts w:ascii="Arial" w:hAnsi="Arial"/>
                <w:b/>
                <w:color w:val="FFFFFF"/>
                <w:sz w:val="19"/>
              </w:rPr>
              <w:t>Continuous Metric</w:t>
            </w:r>
          </w:p>
        </w:tc>
        <w:tc>
          <w:tcPr>
            <w:tcW w:type="dxa" w:w="1728"/>
            <w:shd w:fill="1B365D"/>
            <w:tcMar>
              <w:top w:w="100" w:type="dxa"/>
              <w:bottom w:w="100" w:type="dxa"/>
              <w:left w:w="120" w:type="dxa"/>
              <w:right w:w="120" w:type="dxa"/>
            </w:tcMar>
            <w:vAlign w:val="center"/>
          </w:tcPr>
          <w:p>
            <w:pPr>
              <w:spacing w:after="0" w:before="0"/>
              <w:jc w:val="center"/>
            </w:pPr>
            <w:r>
              <w:rPr>
                <w:rFonts w:ascii="Arial" w:hAnsi="Arial"/>
                <w:b/>
                <w:color w:val="FFFFFF"/>
                <w:sz w:val="19"/>
              </w:rPr>
              <w:t>Raw Skewness</w:t>
            </w:r>
          </w:p>
        </w:tc>
        <w:tc>
          <w:tcPr>
            <w:tcW w:type="dxa" w:w="1728"/>
            <w:shd w:fill="1B365D"/>
            <w:tcMar>
              <w:top w:w="100" w:type="dxa"/>
              <w:bottom w:w="100" w:type="dxa"/>
              <w:left w:w="120" w:type="dxa"/>
              <w:right w:w="120" w:type="dxa"/>
            </w:tcMar>
            <w:vAlign w:val="center"/>
          </w:tcPr>
          <w:p>
            <w:pPr>
              <w:spacing w:after="0" w:before="0"/>
              <w:jc w:val="center"/>
            </w:pPr>
            <w:r>
              <w:rPr>
                <w:rFonts w:ascii="Arial" w:hAnsi="Arial"/>
                <w:b/>
                <w:color w:val="FFFFFF"/>
                <w:sz w:val="19"/>
              </w:rPr>
              <w:t>Log1p Skewness</w:t>
            </w:r>
          </w:p>
        </w:tc>
        <w:tc>
          <w:tcPr>
            <w:tcW w:type="dxa" w:w="2016"/>
            <w:shd w:fill="1B365D"/>
            <w:tcMar>
              <w:top w:w="100" w:type="dxa"/>
              <w:bottom w:w="100" w:type="dxa"/>
              <w:left w:w="120" w:type="dxa"/>
              <w:right w:w="120" w:type="dxa"/>
            </w:tcMar>
            <w:vAlign w:val="center"/>
          </w:tcPr>
          <w:p>
            <w:pPr>
              <w:spacing w:after="0" w:before="0"/>
              <w:jc w:val="center"/>
            </w:pPr>
            <w:r>
              <w:rPr>
                <w:rFonts w:ascii="Arial" w:hAnsi="Arial"/>
                <w:b/>
                <w:color w:val="FFFFFF"/>
                <w:sz w:val="19"/>
              </w:rPr>
              <w:t>Skewness Reduction (%)</w:t>
            </w:r>
          </w:p>
        </w:tc>
        <w:tc>
          <w:tcPr>
            <w:tcW w:type="dxa" w:w="1872"/>
            <w:shd w:fill="1B365D"/>
            <w:tcMar>
              <w:top w:w="100" w:type="dxa"/>
              <w:bottom w:w="100" w:type="dxa"/>
              <w:left w:w="120" w:type="dxa"/>
              <w:right w:w="120" w:type="dxa"/>
            </w:tcMar>
            <w:vAlign w:val="center"/>
          </w:tcPr>
          <w:p>
            <w:pPr>
              <w:spacing w:after="0" w:before="0"/>
              <w:jc w:val="center"/>
            </w:pPr>
            <w:r>
              <w:rPr>
                <w:rFonts w:ascii="Arial" w:hAnsi="Arial"/>
                <w:b/>
                <w:color w:val="FFFFFF"/>
                <w:sz w:val="19"/>
              </w:rPr>
              <w:t>Distribution Impact</w:t>
            </w:r>
          </w:p>
        </w:tc>
      </w:tr>
      <w:tr>
        <w:tc>
          <w:tcPr>
            <w:tcW w:type="dxa" w:w="2016"/>
            <w:shd w:fill="FFFFFF"/>
            <w:tcMar>
              <w:top w:w="70" w:type="dxa"/>
              <w:bottom w:w="70" w:type="dxa"/>
              <w:left w:w="110" w:type="dxa"/>
              <w:right w:w="110" w:type="dxa"/>
            </w:tcMar>
            <w:vAlign w:val="center"/>
          </w:tcPr>
          <w:p>
            <w:pPr>
              <w:spacing w:after="0" w:before="0"/>
              <w:jc w:val="left"/>
            </w:pPr>
            <w:r>
              <w:rPr>
                <w:rFonts w:ascii="Calibri" w:hAnsi="Calibri"/>
                <w:color w:val="2C3E50"/>
                <w:sz w:val="19"/>
              </w:rPr>
              <w:t>distance</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3.004</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1.112</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63.0%</w:t>
            </w:r>
          </w:p>
        </w:tc>
        <w:tc>
          <w:tcPr>
            <w:tcW w:type="dxa" w:w="1872"/>
            <w:shd w:fill="FFFFFF"/>
            <w:tcMar>
              <w:top w:w="70" w:type="dxa"/>
              <w:bottom w:w="70" w:type="dxa"/>
              <w:left w:w="110" w:type="dxa"/>
              <w:right w:w="110" w:type="dxa"/>
            </w:tcMar>
            <w:vAlign w:val="center"/>
          </w:tcPr>
          <w:p>
            <w:pPr>
              <w:spacing w:after="0" w:before="0"/>
              <w:jc w:val="left"/>
            </w:pPr>
            <w:r>
              <w:rPr>
                <w:rFonts w:ascii="Calibri" w:hAnsi="Calibri"/>
                <w:color w:val="2C3E50"/>
                <w:sz w:val="19"/>
              </w:rPr>
              <w:t>Normalized right tail; stabilized variance</w:t>
            </w:r>
          </w:p>
        </w:tc>
      </w:tr>
      <w:tr>
        <w:tc>
          <w:tcPr>
            <w:tcW w:type="dxa" w:w="2016"/>
            <w:shd w:fill="F8FAFC"/>
            <w:tcMar>
              <w:top w:w="70" w:type="dxa"/>
              <w:bottom w:w="70" w:type="dxa"/>
              <w:left w:w="110" w:type="dxa"/>
              <w:right w:w="110" w:type="dxa"/>
            </w:tcMar>
            <w:vAlign w:val="center"/>
          </w:tcPr>
          <w:p>
            <w:pPr>
              <w:spacing w:after="0" w:before="0"/>
              <w:jc w:val="left"/>
            </w:pPr>
            <w:r>
              <w:rPr>
                <w:rFonts w:ascii="Calibri" w:hAnsi="Calibri"/>
                <w:color w:val="2C3E50"/>
                <w:sz w:val="19"/>
              </w:rPr>
              <w:t>fare</w:t>
            </w:r>
          </w:p>
        </w:tc>
        <w:tc>
          <w:tcPr>
            <w:tcW w:type="dxa" w:w="1728"/>
            <w:shd w:fill="F8FAFC"/>
            <w:tcMar>
              <w:top w:w="70" w:type="dxa"/>
              <w:bottom w:w="70" w:type="dxa"/>
              <w:left w:w="110" w:type="dxa"/>
              <w:right w:w="110" w:type="dxa"/>
            </w:tcMar>
            <w:vAlign w:val="center"/>
          </w:tcPr>
          <w:p>
            <w:pPr>
              <w:spacing w:after="0" w:before="0"/>
              <w:jc w:val="right"/>
            </w:pPr>
            <w:r>
              <w:rPr>
                <w:rFonts w:ascii="Calibri" w:hAnsi="Calibri"/>
                <w:color w:val="2C3E50"/>
                <w:sz w:val="19"/>
              </w:rPr>
              <w:t>3.169</w:t>
            </w:r>
          </w:p>
        </w:tc>
        <w:tc>
          <w:tcPr>
            <w:tcW w:type="dxa" w:w="1728"/>
            <w:shd w:fill="F8FAFC"/>
            <w:tcMar>
              <w:top w:w="70" w:type="dxa"/>
              <w:bottom w:w="70" w:type="dxa"/>
              <w:left w:w="110" w:type="dxa"/>
              <w:right w:w="110" w:type="dxa"/>
            </w:tcMar>
            <w:vAlign w:val="center"/>
          </w:tcPr>
          <w:p>
            <w:pPr>
              <w:spacing w:after="0" w:before="0"/>
              <w:jc w:val="right"/>
            </w:pPr>
            <w:r>
              <w:rPr>
                <w:rFonts w:ascii="Calibri" w:hAnsi="Calibri"/>
                <w:color w:val="2C3E50"/>
                <w:sz w:val="19"/>
              </w:rPr>
              <w:t>0.793</w:t>
            </w:r>
          </w:p>
        </w:tc>
        <w:tc>
          <w:tcPr>
            <w:tcW w:type="dxa" w:w="2016"/>
            <w:shd w:fill="F8FAFC"/>
            <w:tcMar>
              <w:top w:w="70" w:type="dxa"/>
              <w:bottom w:w="70" w:type="dxa"/>
              <w:left w:w="110" w:type="dxa"/>
              <w:right w:w="110" w:type="dxa"/>
            </w:tcMar>
            <w:vAlign w:val="center"/>
          </w:tcPr>
          <w:p>
            <w:pPr>
              <w:spacing w:after="0" w:before="0"/>
              <w:jc w:val="right"/>
            </w:pPr>
            <w:r>
              <w:rPr>
                <w:rFonts w:ascii="Calibri" w:hAnsi="Calibri"/>
                <w:color w:val="2C3E50"/>
                <w:sz w:val="19"/>
              </w:rPr>
              <w:t>75.0%</w:t>
            </w:r>
          </w:p>
        </w:tc>
        <w:tc>
          <w:tcPr>
            <w:tcW w:type="dxa" w:w="1872"/>
            <w:shd w:fill="F8FAFC"/>
            <w:tcMar>
              <w:top w:w="70" w:type="dxa"/>
              <w:bottom w:w="70" w:type="dxa"/>
              <w:left w:w="110" w:type="dxa"/>
              <w:right w:w="110" w:type="dxa"/>
            </w:tcMar>
            <w:vAlign w:val="center"/>
          </w:tcPr>
          <w:p>
            <w:pPr>
              <w:spacing w:after="0" w:before="0"/>
              <w:jc w:val="left"/>
            </w:pPr>
            <w:r>
              <w:rPr>
                <w:rFonts w:ascii="Calibri" w:hAnsi="Calibri"/>
                <w:color w:val="2C3E50"/>
                <w:sz w:val="19"/>
              </w:rPr>
              <w:t>Transformed heavy-tail to near-Gaussian</w:t>
            </w:r>
          </w:p>
        </w:tc>
      </w:tr>
      <w:tr>
        <w:tc>
          <w:tcPr>
            <w:tcW w:type="dxa" w:w="2016"/>
            <w:shd w:fill="FFFFFF"/>
            <w:tcMar>
              <w:top w:w="70" w:type="dxa"/>
              <w:bottom w:w="70" w:type="dxa"/>
              <w:left w:w="110" w:type="dxa"/>
              <w:right w:w="110" w:type="dxa"/>
            </w:tcMar>
            <w:vAlign w:val="center"/>
          </w:tcPr>
          <w:p>
            <w:pPr>
              <w:spacing w:after="0" w:before="0"/>
              <w:jc w:val="left"/>
            </w:pPr>
            <w:r>
              <w:rPr>
                <w:rFonts w:ascii="Calibri" w:hAnsi="Calibri"/>
                <w:color w:val="2C3E50"/>
                <w:sz w:val="19"/>
              </w:rPr>
              <w:t>total</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2.994</w:t>
            </w:r>
          </w:p>
        </w:tc>
        <w:tc>
          <w:tcPr>
            <w:tcW w:type="dxa" w:w="1728"/>
            <w:shd w:fill="FFFFFF"/>
            <w:tcMar>
              <w:top w:w="70" w:type="dxa"/>
              <w:bottom w:w="70" w:type="dxa"/>
              <w:left w:w="110" w:type="dxa"/>
              <w:right w:w="110" w:type="dxa"/>
            </w:tcMar>
            <w:vAlign w:val="center"/>
          </w:tcPr>
          <w:p>
            <w:pPr>
              <w:spacing w:after="0" w:before="0"/>
              <w:jc w:val="right"/>
            </w:pPr>
            <w:r>
              <w:rPr>
                <w:rFonts w:ascii="Calibri" w:hAnsi="Calibri"/>
                <w:color w:val="2C3E50"/>
                <w:sz w:val="19"/>
              </w:rPr>
              <w:t>0.921</w:t>
            </w:r>
          </w:p>
        </w:tc>
        <w:tc>
          <w:tcPr>
            <w:tcW w:type="dxa" w:w="2016"/>
            <w:shd w:fill="FFFFFF"/>
            <w:tcMar>
              <w:top w:w="70" w:type="dxa"/>
              <w:bottom w:w="70" w:type="dxa"/>
              <w:left w:w="110" w:type="dxa"/>
              <w:right w:w="110" w:type="dxa"/>
            </w:tcMar>
            <w:vAlign w:val="center"/>
          </w:tcPr>
          <w:p>
            <w:pPr>
              <w:spacing w:after="0" w:before="0"/>
              <w:jc w:val="right"/>
            </w:pPr>
            <w:r>
              <w:rPr>
                <w:rFonts w:ascii="Calibri" w:hAnsi="Calibri"/>
                <w:color w:val="2C3E50"/>
                <w:sz w:val="19"/>
              </w:rPr>
              <w:t>69.2%</w:t>
            </w:r>
          </w:p>
        </w:tc>
        <w:tc>
          <w:tcPr>
            <w:tcW w:type="dxa" w:w="1872"/>
            <w:shd w:fill="FFFFFF"/>
            <w:tcMar>
              <w:top w:w="70" w:type="dxa"/>
              <w:bottom w:w="70" w:type="dxa"/>
              <w:left w:w="110" w:type="dxa"/>
              <w:right w:w="110" w:type="dxa"/>
            </w:tcMar>
            <w:vAlign w:val="center"/>
          </w:tcPr>
          <w:p>
            <w:pPr>
              <w:spacing w:after="0" w:before="0"/>
              <w:jc w:val="left"/>
            </w:pPr>
            <w:r>
              <w:rPr>
                <w:rFonts w:ascii="Calibri" w:hAnsi="Calibri"/>
                <w:color w:val="2C3E50"/>
                <w:sz w:val="19"/>
              </w:rPr>
              <w:t>Attenuated extreme monetary leverage points</w:t>
            </w:r>
          </w:p>
        </w:tc>
      </w:tr>
    </w:tbl>
    <w:p>
      <w:pPr>
        <w:spacing w:after="160"/>
      </w:pPr>
    </w:p>
    <w:p>
      <w:pPr>
        <w:keepNext/>
        <w:spacing w:before="240" w:after="80"/>
        <w:jc w:val="center"/>
      </w:pPr>
      <w:r>
        <w:drawing>
          <wp:inline xmlns:a="http://schemas.openxmlformats.org/drawingml/2006/main" xmlns:pic="http://schemas.openxmlformats.org/drawingml/2006/picture">
            <wp:extent cx="5486400" cy="4488873"/>
            <wp:docPr id="6" name="Picture 6"/>
            <wp:cNvGraphicFramePr>
              <a:graphicFrameLocks noChangeAspect="1"/>
            </wp:cNvGraphicFramePr>
            <a:graphic>
              <a:graphicData uri="http://schemas.openxmlformats.org/drawingml/2006/picture">
                <pic:pic>
                  <pic:nvPicPr>
                    <pic:cNvPr id="0" name="fig6_skewness_and_log_transforms.png"/>
                    <pic:cNvPicPr/>
                  </pic:nvPicPr>
                  <pic:blipFill>
                    <a:blip r:embed="rId14"/>
                    <a:stretch>
                      <a:fillRect/>
                    </a:stretch>
                  </pic:blipFill>
                  <pic:spPr>
                    <a:xfrm>
                      <a:off x="0" y="0"/>
                      <a:ext cx="5486400" cy="4488873"/>
                    </a:xfrm>
                    <a:prstGeom prst="rect"/>
                  </pic:spPr>
                </pic:pic>
              </a:graphicData>
            </a:graphic>
          </wp:inline>
        </w:drawing>
      </w:r>
    </w:p>
    <w:p>
      <w:pPr>
        <w:spacing w:after="240"/>
        <w:jc w:val="center"/>
      </w:pPr>
      <w:r>
        <w:rPr>
          <w:rFonts w:ascii="Arial" w:hAnsi="Arial"/>
          <w:b/>
          <w:i/>
          <w:color w:val="336699"/>
          <w:sz w:val="19"/>
        </w:rPr>
        <w:t>Figure 6: Density Distribution Comparison: Raw Heavy-Tailed vs Log1p Transformed Continuous Features</w:t>
      </w:r>
    </w:p>
    <w:p>
      <w:pPr>
        <w:keepNext/>
        <w:spacing w:before="240" w:after="80"/>
        <w:jc w:val="center"/>
      </w:pPr>
      <w:r>
        <w:drawing>
          <wp:inline xmlns:a="http://schemas.openxmlformats.org/drawingml/2006/main" xmlns:pic="http://schemas.openxmlformats.org/drawingml/2006/picture">
            <wp:extent cx="5486400" cy="4267200"/>
            <wp:docPr id="7" name="Picture 7"/>
            <wp:cNvGraphicFramePr>
              <a:graphicFrameLocks noChangeAspect="1"/>
            </wp:cNvGraphicFramePr>
            <a:graphic>
              <a:graphicData uri="http://schemas.openxmlformats.org/drawingml/2006/picture">
                <pic:pic>
                  <pic:nvPicPr>
                    <pic:cNvPr id="0" name="fig7_feature_correlations.png"/>
                    <pic:cNvPicPr/>
                  </pic:nvPicPr>
                  <pic:blipFill>
                    <a:blip r:embed="rId15"/>
                    <a:stretch>
                      <a:fillRect/>
                    </a:stretch>
                  </pic:blipFill>
                  <pic:spPr>
                    <a:xfrm>
                      <a:off x="0" y="0"/>
                      <a:ext cx="5486400" cy="4267200"/>
                    </a:xfrm>
                    <a:prstGeom prst="rect"/>
                  </pic:spPr>
                </pic:pic>
              </a:graphicData>
            </a:graphic>
          </wp:inline>
        </w:drawing>
      </w:r>
    </w:p>
    <w:p>
      <w:pPr>
        <w:spacing w:after="240"/>
        <w:jc w:val="center"/>
      </w:pPr>
      <w:r>
        <w:rPr>
          <w:rFonts w:ascii="Arial" w:hAnsi="Arial"/>
          <w:b/>
          <w:i/>
          <w:color w:val="336699"/>
          <w:sz w:val="19"/>
        </w:rPr>
        <w:t>Figure 7: Pearson Correlation Heatmap of Engineered Predictors Displaying Multi-Collinearity Structure</w:t>
      </w:r>
    </w:p>
    <w:p>
      <w:pPr>
        <w:keepNext/>
        <w:spacing w:before="400" w:after="160"/>
      </w:pPr>
      <w:r>
        <w:rPr>
          <w:rFonts w:ascii="Arial" w:hAnsi="Arial"/>
          <w:b/>
          <w:color w:val="1B365D"/>
          <w:sz w:val="34"/>
        </w:rPr>
        <w:t>8. Data Preprocessing, Normalization &amp; Categorical Encoding Pipeline</w:t>
      </w:r>
    </w:p>
    <w:p>
      <w:pPr>
        <w:spacing w:after="120" w:line="276" w:lineRule="auto"/>
      </w:pPr>
      <w:r>
        <w:rPr>
          <w:rFonts w:ascii="Calibri" w:hAnsi="Calibri"/>
          <w:color w:val="2C3E50"/>
          <w:sz w:val="22"/>
        </w:rPr>
        <w:t>To prepare the cleaned and engineered dataset for machine learning consumption, features must be transformed onto comparable numeric scales and categorical levels must be numerically represented without target leakage.</w:t>
      </w:r>
    </w:p>
    <w:p>
      <w:pPr>
        <w:keepNext/>
        <w:spacing w:before="280" w:after="120"/>
      </w:pPr>
      <w:r>
        <w:rPr>
          <w:rFonts w:ascii="Arial" w:hAnsi="Arial"/>
          <w:b/>
          <w:color w:val="336699"/>
          <w:sz w:val="27"/>
        </w:rPr>
        <w:t>8.1 Robust Scaling vs Standard Scaling</w:t>
      </w:r>
    </w:p>
    <w:p>
      <w:pPr>
        <w:spacing w:after="120" w:line="276" w:lineRule="auto"/>
      </w:pPr>
      <w:r>
        <w:rPr>
          <w:rFonts w:ascii="Calibri" w:hAnsi="Calibri"/>
          <w:color w:val="2C3E50"/>
          <w:sz w:val="22"/>
        </w:rPr>
        <w:t>Standard Z-score scaling ($z = \frac{x - \mu}{\sigma}$) relies on the sample mean $\mu$ and standard deviation $\sigma$, both of which are highly sensitive to extreme values. In datasets with residual heavy tails, outliers inflate $\sigma$ and compress normal inliers into an excessively narrow band. To counteract this, we deployed Scikit-Learn's `RobustScaler`, which scales features using median and Interquartile Range: $$x_{\text{scaled}} = \frac{x - \text{Median}(x)}{\text{IQR}(x)}$$This guarantees that 50% of the data falls cleanly within $[-1.0, 1.0]$, insulating gradient descent from outlier distortion.</w:t>
      </w:r>
    </w:p>
    <w:p>
      <w:pPr>
        <w:keepNext/>
        <w:spacing w:before="280" w:after="120"/>
      </w:pPr>
      <w:r>
        <w:rPr>
          <w:rFonts w:ascii="Arial" w:hAnsi="Arial"/>
          <w:b/>
          <w:color w:val="336699"/>
          <w:sz w:val="27"/>
        </w:rPr>
        <w:t>8.2 Categorical One-Hot Encoding</w:t>
      </w:r>
    </w:p>
    <w:p>
      <w:pPr>
        <w:spacing w:after="120" w:line="276" w:lineRule="auto"/>
      </w:pPr>
      <w:r>
        <w:rPr>
          <w:rFonts w:ascii="Calibri" w:hAnsi="Calibri"/>
          <w:color w:val="2C3E50"/>
          <w:sz w:val="22"/>
        </w:rPr>
        <w:t>Nominal categorical variables (`color`, `payment`, `pickup_borough`, `dropoff_borough`) carry no natural ordinal hierarchy. Applying integer label encoding would impose an artificial mathematical ranking (e.g. suggesting Manhattan &gt; Queens &gt; Brooklyn). We applied One-Hot Encoding with `drop='first'` to prevent perfect multi-collinearity (the dummy variable trap). Missing spatial tokens were cleanly incorporated as their own distinct dummy column (`borough_Unknown`).</w:t>
      </w:r>
    </w:p>
    <w:p>
      <w:pPr>
        <w:keepNext/>
        <w:spacing w:before="280" w:after="120"/>
      </w:pPr>
      <w:r>
        <w:rPr>
          <w:rFonts w:ascii="Arial" w:hAnsi="Arial"/>
          <w:b/>
          <w:color w:val="336699"/>
          <w:sz w:val="27"/>
        </w:rPr>
        <w:t>8.3 Data Leakage Prevention Architecture</w:t>
      </w:r>
    </w:p>
    <w:p>
      <w:pPr>
        <w:spacing w:after="120" w:line="276" w:lineRule="auto"/>
      </w:pPr>
      <w:r>
        <w:rPr>
          <w:rFonts w:ascii="Calibri" w:hAnsi="Calibri"/>
          <w:color w:val="2C3E50"/>
          <w:sz w:val="22"/>
        </w:rPr>
        <w:t>A paramount engineering requirement is preventing Data Leakage. In naive workflows, scalers and encoders are fitted across the entire dataset prior to train-test splitting. This leaks distributional statistics (mean, IQR, category distributions) from the test set into the training process. In our pipeline, the dataset is partitioned via an 80/20 train-test split *before* fitting transformers. All scalers, log-bounds, and encoders are fitted strictly on $X_{\text{train}}$ and subsequently applied to $X_{\text{test}}$.</w:t>
      </w:r>
    </w:p>
    <w:p>
      <w:pPr>
        <w:keepNext/>
        <w:spacing w:before="160" w:after="60"/>
      </w:pPr>
      <w:r>
        <w:rPr>
          <w:rFonts w:ascii="Arial" w:hAnsi="Arial"/>
          <w:b/>
          <w:color w:val="336699"/>
          <w:sz w:val="19"/>
        </w:rPr>
        <w:t>Listing: Leakage-Free ColumnTransformer Preprocessing Pipeline</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18" w:space="0" w:color="336699"/>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Script: Production-Grade Preprocessing &amp; Leakage-Free Pipeline</w:t>
              <w:br/>
              <w:t>from sklearn.model_selection import train_test_split</w:t>
              <w:br/>
              <w:t>from sklearn.preprocessing import RobustScaler, OneHotEncoder</w:t>
              <w:br/>
              <w:t>from sklearn.compose import ColumnTransformer</w:t>
              <w:br/>
              <w:t>from sklearn.pipeline import Pipeline</w:t>
              <w:br/>
              <w:br/>
              <w:t>def construct_preprocessing_pipeline(numerical_cols, categorical_cols):</w:t>
              <w:br/>
              <w:t xml:space="preserve">    num_transformer = Pipeline(steps=[</w:t>
              <w:br/>
              <w:t xml:space="preserve">        ('scaler', RobustScaler())</w:t>
              <w:br/>
              <w:t xml:space="preserve">    ])</w:t>
              <w:br/>
              <w:t xml:space="preserve">    cat_transformer = Pipeline(steps=[</w:t>
              <w:br/>
              <w:t xml:space="preserve">        ('onehot', OneHotEncoder(drop='first', handle_unknown='ignore'))</w:t>
              <w:br/>
              <w:t xml:space="preserve">    ])</w:t>
              <w:br/>
              <w:t xml:space="preserve">    preprocessor = ColumnTransformer(transformers=[</w:t>
              <w:br/>
              <w:t xml:space="preserve">        ('num', num_transformer, numerical_cols),</w:t>
              <w:br/>
              <w:t xml:space="preserve">        ('cat', cat_transformer, categorical_cols)</w:t>
              <w:br/>
              <w:t xml:space="preserve">    ])</w:t>
              <w:br/>
              <w:t xml:space="preserve">    return preprocessor</w:t>
              <w:br/>
            </w:r>
          </w:p>
        </w:tc>
      </w:tr>
    </w:tbl>
    <w:p>
      <w:pPr>
        <w:spacing w:after="120"/>
      </w:pPr>
    </w:p>
    <w:p>
      <w:pPr>
        <w:keepNext/>
        <w:spacing w:before="400" w:after="160"/>
      </w:pPr>
      <w:r>
        <w:rPr>
          <w:rFonts w:ascii="Arial" w:hAnsi="Arial"/>
          <w:b/>
          <w:color w:val="1B365D"/>
          <w:sz w:val="34"/>
        </w:rPr>
        <w:t>9. Empirical Validation: Downstream Machine Learning Impact Analysis</w:t>
      </w:r>
    </w:p>
    <w:p>
      <w:pPr>
        <w:spacing w:after="120" w:line="276" w:lineRule="auto"/>
      </w:pPr>
      <w:r>
        <w:rPr>
          <w:rFonts w:ascii="Calibri" w:hAnsi="Calibri"/>
          <w:color w:val="2C3E50"/>
          <w:sz w:val="22"/>
        </w:rPr>
        <w:t>To rigorously quantify the real-world value of our data cleaning and preprocessing methodology, we conducted a controlled empirical experiment. We formulated a regression task predicting trip `fare` and benchmarked two distinct model architectures under two contrasting data conditions:</w:t>
      </w:r>
    </w:p>
    <w:p>
      <w:pPr>
        <w:pStyle w:val="ListBullet"/>
        <w:spacing w:after="80" w:line="276" w:lineRule="auto"/>
      </w:pPr>
      <w:r>
        <w:rPr>
          <w:rFonts w:ascii="Calibri" w:hAnsi="Calibri"/>
          <w:b/>
          <w:color w:val="2C3E50"/>
          <w:sz w:val="22"/>
        </w:rPr>
        <w:t xml:space="preserve">Condition A (Raw Baseline): </w:t>
      </w:r>
      <w:r>
        <w:rPr>
          <w:rFonts w:ascii="Calibri" w:hAnsi="Calibri"/>
          <w:color w:val="2C3E50"/>
          <w:sz w:val="22"/>
        </w:rPr>
        <w:t>Baseline Condition (Naive / Uncleaned): Minimal mechanical handling—dropping nulls, leaving 0-passenger rides, zero-distance anomalies, velocity violations, and extreme unscaled outliers completely unaddressed.</w:t>
      </w:r>
    </w:p>
    <w:p>
      <w:pPr>
        <w:pStyle w:val="ListBullet"/>
        <w:spacing w:after="80" w:line="276" w:lineRule="auto"/>
      </w:pPr>
      <w:r>
        <w:rPr>
          <w:rFonts w:ascii="Calibri" w:hAnsi="Calibri"/>
          <w:b/>
          <w:color w:val="2C3E50"/>
          <w:sz w:val="22"/>
        </w:rPr>
        <w:t xml:space="preserve">Condition B (Cleaned Pipeline): </w:t>
      </w:r>
      <w:r>
        <w:rPr>
          <w:rFonts w:ascii="Calibri" w:hAnsi="Calibri"/>
          <w:color w:val="2C3E50"/>
          <w:sz w:val="22"/>
        </w:rPr>
        <w:t>Experimental Condition (Cleaned &amp; Preprocessed): Full deployment of our multi-phase pipeline—missingness imputation, kinematic filtering, modal passenger rectifications, soft Winsorization, domain feature engineering, and robust scaling.</w:t>
      </w:r>
    </w:p>
    <w:p>
      <w:pPr>
        <w:keepNext/>
        <w:spacing w:before="280" w:after="120"/>
      </w:pPr>
      <w:r>
        <w:rPr>
          <w:rFonts w:ascii="Arial" w:hAnsi="Arial"/>
          <w:b/>
          <w:color w:val="336699"/>
          <w:sz w:val="27"/>
        </w:rPr>
        <w:t>9.1 Quantitative Machine Learning Benchmark Results</w:t>
      </w:r>
    </w:p>
    <w:p>
      <w:pPr>
        <w:spacing w:after="120" w:line="276" w:lineRule="auto"/>
      </w:pPr>
      <w:r>
        <w:rPr>
          <w:rFonts w:ascii="Calibri" w:hAnsi="Calibri"/>
          <w:color w:val="2C3E50"/>
          <w:sz w:val="22"/>
        </w:rPr>
        <w:t>Both conditions were evaluated across identical 80/20 train-test splits using identical random seeds. We evaluated a linear model (Ridge Regression with $L_2$ shrinkage) and a non-linear ensemble (Random Forest Regressor with 100 estimators). Table 5 summarizes the resulting performance metrics: Coefficient of Determination ($R^2$), Root Mean Squared Error (RMSE), and Mean Absolute Error (MAE).</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CBD5E1"/>
          <w:insideV w:val="none"/>
        </w:tblBorders>
      </w:tblPr>
      <w:tblGrid>
        <w:gridCol w:w="1560"/>
        <w:gridCol w:w="1560"/>
        <w:gridCol w:w="1560"/>
        <w:gridCol w:w="1560"/>
        <w:gridCol w:w="1560"/>
        <w:gridCol w:w="1560"/>
      </w:tblGrid>
      <w:tr>
        <w:tc>
          <w:tcPr>
            <w:tcW w:type="dxa" w:w="2160"/>
            <w:shd w:fill="1B365D"/>
            <w:tcMar>
              <w:top w:w="100" w:type="dxa"/>
              <w:bottom w:w="100" w:type="dxa"/>
              <w:left w:w="120" w:type="dxa"/>
              <w:right w:w="120" w:type="dxa"/>
            </w:tcMar>
            <w:vAlign w:val="center"/>
          </w:tcPr>
          <w:p>
            <w:pPr>
              <w:spacing w:after="0" w:before="0"/>
              <w:jc w:val="center"/>
            </w:pPr>
            <w:r>
              <w:rPr>
                <w:rFonts w:ascii="Arial" w:hAnsi="Arial"/>
                <w:b/>
                <w:color w:val="FFFFFF"/>
                <w:sz w:val="19"/>
              </w:rPr>
              <w:t>Model Architecture</w:t>
            </w:r>
          </w:p>
        </w:tc>
        <w:tc>
          <w:tcPr>
            <w:tcW w:type="dxa" w:w="2160"/>
            <w:shd w:fill="1B365D"/>
            <w:tcMar>
              <w:top w:w="100" w:type="dxa"/>
              <w:bottom w:w="100" w:type="dxa"/>
              <w:left w:w="120" w:type="dxa"/>
              <w:right w:w="120" w:type="dxa"/>
            </w:tcMar>
            <w:vAlign w:val="center"/>
          </w:tcPr>
          <w:p>
            <w:pPr>
              <w:spacing w:after="0" w:before="0"/>
              <w:jc w:val="center"/>
            </w:pPr>
            <w:r>
              <w:rPr>
                <w:rFonts w:ascii="Arial" w:hAnsi="Arial"/>
                <w:b/>
                <w:color w:val="FFFFFF"/>
                <w:sz w:val="19"/>
              </w:rPr>
              <w:t>Data Condition</w:t>
            </w:r>
          </w:p>
        </w:tc>
        <w:tc>
          <w:tcPr>
            <w:tcW w:type="dxa" w:w="1440"/>
            <w:shd w:fill="1B365D"/>
            <w:tcMar>
              <w:top w:w="100" w:type="dxa"/>
              <w:bottom w:w="100" w:type="dxa"/>
              <w:left w:w="120" w:type="dxa"/>
              <w:right w:w="120" w:type="dxa"/>
            </w:tcMar>
            <w:vAlign w:val="center"/>
          </w:tcPr>
          <w:p>
            <w:pPr>
              <w:spacing w:after="0" w:before="0"/>
              <w:jc w:val="center"/>
            </w:pPr>
            <w:r>
              <w:rPr>
                <w:rFonts w:ascii="Arial" w:hAnsi="Arial"/>
                <w:b/>
                <w:color w:val="FFFFFF"/>
                <w:sz w:val="19"/>
              </w:rPr>
              <w:t>Test R² Score</w:t>
            </w:r>
          </w:p>
        </w:tc>
        <w:tc>
          <w:tcPr>
            <w:tcW w:type="dxa" w:w="1440"/>
            <w:shd w:fill="1B365D"/>
            <w:tcMar>
              <w:top w:w="100" w:type="dxa"/>
              <w:bottom w:w="100" w:type="dxa"/>
              <w:left w:w="120" w:type="dxa"/>
              <w:right w:w="120" w:type="dxa"/>
            </w:tcMar>
            <w:vAlign w:val="center"/>
          </w:tcPr>
          <w:p>
            <w:pPr>
              <w:spacing w:after="0" w:before="0"/>
              <w:jc w:val="center"/>
            </w:pPr>
            <w:r>
              <w:rPr>
                <w:rFonts w:ascii="Arial" w:hAnsi="Arial"/>
                <w:b/>
                <w:color w:val="FFFFFF"/>
                <w:sz w:val="19"/>
              </w:rPr>
              <w:t>Test RMSE ($)</w:t>
            </w:r>
          </w:p>
        </w:tc>
        <w:tc>
          <w:tcPr>
            <w:tcW w:type="dxa" w:w="1440"/>
            <w:shd w:fill="1B365D"/>
            <w:tcMar>
              <w:top w:w="100" w:type="dxa"/>
              <w:bottom w:w="100" w:type="dxa"/>
              <w:left w:w="120" w:type="dxa"/>
              <w:right w:w="120" w:type="dxa"/>
            </w:tcMar>
            <w:vAlign w:val="center"/>
          </w:tcPr>
          <w:p>
            <w:pPr>
              <w:spacing w:after="0" w:before="0"/>
              <w:jc w:val="center"/>
            </w:pPr>
            <w:r>
              <w:rPr>
                <w:rFonts w:ascii="Arial" w:hAnsi="Arial"/>
                <w:b/>
                <w:color w:val="FFFFFF"/>
                <w:sz w:val="19"/>
              </w:rPr>
              <w:t>Test MAE ($)</w:t>
            </w:r>
          </w:p>
        </w:tc>
        <w:tc>
          <w:tcPr>
            <w:tcW w:type="dxa" w:w="2160"/>
            <w:shd w:fill="1B365D"/>
            <w:tcMar>
              <w:top w:w="100" w:type="dxa"/>
              <w:bottom w:w="100" w:type="dxa"/>
              <w:left w:w="120" w:type="dxa"/>
              <w:right w:w="120" w:type="dxa"/>
            </w:tcMar>
            <w:vAlign w:val="center"/>
          </w:tcPr>
          <w:p>
            <w:pPr>
              <w:spacing w:after="0" w:before="0"/>
              <w:jc w:val="center"/>
            </w:pPr>
            <w:r>
              <w:rPr>
                <w:rFonts w:ascii="Arial" w:hAnsi="Arial"/>
                <w:b/>
                <w:color w:val="FFFFFF"/>
                <w:sz w:val="19"/>
              </w:rPr>
              <w:t>Performance Impact</w:t>
            </w:r>
          </w:p>
        </w:tc>
      </w:tr>
      <w:tr>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Ridge Regression</w:t>
            </w:r>
          </w:p>
        </w:tc>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Uncleaned (Raw Baseline)</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0.9238</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$2.88</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$1.75</w:t>
            </w:r>
          </w:p>
        </w:tc>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Baseline raw error</w:t>
            </w:r>
          </w:p>
        </w:tc>
      </w:tr>
      <w:tr>
        <w:tc>
          <w:tcPr>
            <w:tcW w:type="dxa" w:w="2160"/>
            <w:shd w:fill="F8FAFC"/>
            <w:tcMar>
              <w:top w:w="70" w:type="dxa"/>
              <w:bottom w:w="70" w:type="dxa"/>
              <w:left w:w="110" w:type="dxa"/>
              <w:right w:w="110" w:type="dxa"/>
            </w:tcMar>
            <w:vAlign w:val="center"/>
          </w:tcPr>
          <w:p>
            <w:pPr>
              <w:spacing w:after="0" w:before="0"/>
              <w:jc w:val="left"/>
            </w:pPr>
            <w:r>
              <w:rPr>
                <w:rFonts w:ascii="Calibri" w:hAnsi="Calibri"/>
                <w:color w:val="2C3E50"/>
                <w:sz w:val="19"/>
              </w:rPr>
              <w:t>Ridge Regression</w:t>
            </w:r>
          </w:p>
        </w:tc>
        <w:tc>
          <w:tcPr>
            <w:tcW w:type="dxa" w:w="2160"/>
            <w:shd w:fill="F8FAFC"/>
            <w:tcMar>
              <w:top w:w="70" w:type="dxa"/>
              <w:bottom w:w="70" w:type="dxa"/>
              <w:left w:w="110" w:type="dxa"/>
              <w:right w:w="110" w:type="dxa"/>
            </w:tcMar>
            <w:vAlign w:val="center"/>
          </w:tcPr>
          <w:p>
            <w:pPr>
              <w:spacing w:after="0" w:before="0"/>
              <w:jc w:val="left"/>
            </w:pPr>
            <w:r>
              <w:rPr>
                <w:rFonts w:ascii="Calibri" w:hAnsi="Calibri"/>
                <w:color w:val="2C3E50"/>
                <w:sz w:val="19"/>
              </w:rPr>
              <w:t>Cleaned &amp; Preprocessed</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0.9865</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$1.17</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$0.58</w:t>
            </w:r>
          </w:p>
        </w:tc>
        <w:tc>
          <w:tcPr>
            <w:tcW w:type="dxa" w:w="2160"/>
            <w:shd w:fill="F8FAFC"/>
            <w:tcMar>
              <w:top w:w="70" w:type="dxa"/>
              <w:bottom w:w="70" w:type="dxa"/>
              <w:left w:w="110" w:type="dxa"/>
              <w:right w:w="110" w:type="dxa"/>
            </w:tcMar>
            <w:vAlign w:val="center"/>
          </w:tcPr>
          <w:p>
            <w:pPr>
              <w:spacing w:after="0" w:before="0"/>
              <w:jc w:val="right"/>
            </w:pPr>
            <w:r>
              <w:rPr>
                <w:rFonts w:ascii="Calibri" w:hAnsi="Calibri"/>
                <w:color w:val="2C3E50"/>
                <w:sz w:val="19"/>
              </w:rPr>
              <w:t>59.4% RMSE reduction | 66.9% MAE reduction</w:t>
            </w:r>
          </w:p>
        </w:tc>
      </w:tr>
      <w:tr>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Random Forest</w:t>
            </w:r>
          </w:p>
        </w:tc>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Uncleaned (Raw Baseline)</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0.9241</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$2.87</w:t>
            </w:r>
          </w:p>
        </w:tc>
        <w:tc>
          <w:tcPr>
            <w:tcW w:type="dxa" w:w="1440"/>
            <w:shd w:fill="FFFFFF"/>
            <w:tcMar>
              <w:top w:w="70" w:type="dxa"/>
              <w:bottom w:w="70" w:type="dxa"/>
              <w:left w:w="110" w:type="dxa"/>
              <w:right w:w="110" w:type="dxa"/>
            </w:tcMar>
            <w:vAlign w:val="center"/>
          </w:tcPr>
          <w:p>
            <w:pPr>
              <w:spacing w:after="0" w:before="0"/>
              <w:jc w:val="right"/>
            </w:pPr>
            <w:r>
              <w:rPr>
                <w:rFonts w:ascii="Calibri" w:hAnsi="Calibri"/>
                <w:color w:val="2C3E50"/>
                <w:sz w:val="19"/>
              </w:rPr>
              <w:t>$1.64</w:t>
            </w:r>
          </w:p>
        </w:tc>
        <w:tc>
          <w:tcPr>
            <w:tcW w:type="dxa" w:w="2160"/>
            <w:shd w:fill="FFFFFF"/>
            <w:tcMar>
              <w:top w:w="70" w:type="dxa"/>
              <w:bottom w:w="70" w:type="dxa"/>
              <w:left w:w="110" w:type="dxa"/>
              <w:right w:w="110" w:type="dxa"/>
            </w:tcMar>
            <w:vAlign w:val="center"/>
          </w:tcPr>
          <w:p>
            <w:pPr>
              <w:spacing w:after="0" w:before="0"/>
              <w:jc w:val="left"/>
            </w:pPr>
            <w:r>
              <w:rPr>
                <w:rFonts w:ascii="Calibri" w:hAnsi="Calibri"/>
                <w:color w:val="2C3E50"/>
                <w:sz w:val="19"/>
              </w:rPr>
              <w:t>Baseline non-linear error</w:t>
            </w:r>
          </w:p>
        </w:tc>
      </w:tr>
      <w:tr>
        <w:tc>
          <w:tcPr>
            <w:tcW w:type="dxa" w:w="2160"/>
            <w:shd w:fill="F8FAFC"/>
            <w:tcMar>
              <w:top w:w="70" w:type="dxa"/>
              <w:bottom w:w="70" w:type="dxa"/>
              <w:left w:w="110" w:type="dxa"/>
              <w:right w:w="110" w:type="dxa"/>
            </w:tcMar>
            <w:vAlign w:val="center"/>
          </w:tcPr>
          <w:p>
            <w:pPr>
              <w:spacing w:after="0" w:before="0"/>
              <w:jc w:val="left"/>
            </w:pPr>
            <w:r>
              <w:rPr>
                <w:rFonts w:ascii="Calibri" w:hAnsi="Calibri"/>
                <w:color w:val="2C3E50"/>
                <w:sz w:val="19"/>
              </w:rPr>
              <w:t>Random Forest</w:t>
            </w:r>
          </w:p>
        </w:tc>
        <w:tc>
          <w:tcPr>
            <w:tcW w:type="dxa" w:w="2160"/>
            <w:shd w:fill="F8FAFC"/>
            <w:tcMar>
              <w:top w:w="70" w:type="dxa"/>
              <w:bottom w:w="70" w:type="dxa"/>
              <w:left w:w="110" w:type="dxa"/>
              <w:right w:w="110" w:type="dxa"/>
            </w:tcMar>
            <w:vAlign w:val="center"/>
          </w:tcPr>
          <w:p>
            <w:pPr>
              <w:spacing w:after="0" w:before="0"/>
              <w:jc w:val="left"/>
            </w:pPr>
            <w:r>
              <w:rPr>
                <w:rFonts w:ascii="Calibri" w:hAnsi="Calibri"/>
                <w:color w:val="2C3E50"/>
                <w:sz w:val="19"/>
              </w:rPr>
              <w:t>Cleaned &amp; Preprocessed</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0.9878</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$1.11</w:t>
            </w:r>
          </w:p>
        </w:tc>
        <w:tc>
          <w:tcPr>
            <w:tcW w:type="dxa" w:w="1440"/>
            <w:shd w:fill="F8FAFC"/>
            <w:tcMar>
              <w:top w:w="70" w:type="dxa"/>
              <w:bottom w:w="70" w:type="dxa"/>
              <w:left w:w="110" w:type="dxa"/>
              <w:right w:w="110" w:type="dxa"/>
            </w:tcMar>
            <w:vAlign w:val="center"/>
          </w:tcPr>
          <w:p>
            <w:pPr>
              <w:spacing w:after="0" w:before="0"/>
              <w:jc w:val="right"/>
            </w:pPr>
            <w:r>
              <w:rPr>
                <w:rFonts w:ascii="Calibri" w:hAnsi="Calibri"/>
                <w:color w:val="2C3E50"/>
                <w:sz w:val="19"/>
              </w:rPr>
              <w:t>$0.45</w:t>
            </w:r>
          </w:p>
        </w:tc>
        <w:tc>
          <w:tcPr>
            <w:tcW w:type="dxa" w:w="2160"/>
            <w:shd w:fill="F8FAFC"/>
            <w:tcMar>
              <w:top w:w="70" w:type="dxa"/>
              <w:bottom w:w="70" w:type="dxa"/>
              <w:left w:w="110" w:type="dxa"/>
              <w:right w:w="110" w:type="dxa"/>
            </w:tcMar>
            <w:vAlign w:val="center"/>
          </w:tcPr>
          <w:p>
            <w:pPr>
              <w:spacing w:after="0" w:before="0"/>
              <w:jc w:val="right"/>
            </w:pPr>
            <w:r>
              <w:rPr>
                <w:rFonts w:ascii="Calibri" w:hAnsi="Calibri"/>
                <w:color w:val="2C3E50"/>
                <w:sz w:val="19"/>
              </w:rPr>
              <w:t>61.3% RMSE reduction | 72.6% MAE reduction</w:t>
            </w:r>
          </w:p>
        </w:tc>
      </w:tr>
    </w:tbl>
    <w:p>
      <w:pPr>
        <w:spacing w:after="160"/>
      </w:pPr>
    </w:p>
    <w:p>
      <w:pPr>
        <w:keepNext/>
        <w:spacing w:before="240" w:after="80"/>
        <w:jc w:val="center"/>
      </w:pPr>
      <w:r>
        <w:drawing>
          <wp:inline xmlns:a="http://schemas.openxmlformats.org/drawingml/2006/main" xmlns:pic="http://schemas.openxmlformats.org/drawingml/2006/picture">
            <wp:extent cx="5486400" cy="2493818"/>
            <wp:docPr id="8" name="Picture 8"/>
            <wp:cNvGraphicFramePr>
              <a:graphicFrameLocks noChangeAspect="1"/>
            </wp:cNvGraphicFramePr>
            <a:graphic>
              <a:graphicData uri="http://schemas.openxmlformats.org/drawingml/2006/picture">
                <pic:pic>
                  <pic:nvPicPr>
                    <pic:cNvPr id="0" name="fig8_downstream_model_performance.png"/>
                    <pic:cNvPicPr/>
                  </pic:nvPicPr>
                  <pic:blipFill>
                    <a:blip r:embed="rId16"/>
                    <a:stretch>
                      <a:fillRect/>
                    </a:stretch>
                  </pic:blipFill>
                  <pic:spPr>
                    <a:xfrm>
                      <a:off x="0" y="0"/>
                      <a:ext cx="5486400" cy="2493818"/>
                    </a:xfrm>
                    <a:prstGeom prst="rect"/>
                  </pic:spPr>
                </pic:pic>
              </a:graphicData>
            </a:graphic>
          </wp:inline>
        </w:drawing>
      </w:r>
    </w:p>
    <w:p>
      <w:pPr>
        <w:spacing w:after="240"/>
        <w:jc w:val="center"/>
      </w:pPr>
      <w:r>
        <w:rPr>
          <w:rFonts w:ascii="Arial" w:hAnsi="Arial"/>
          <w:b/>
          <w:i/>
          <w:color w:val="336699"/>
          <w:sz w:val="19"/>
        </w:rPr>
        <w:t>Figure 8: Empirical Validation Demonstrating Substantial R² Improvements and Massive RMSE Reductions Across Machine Learning Models</w:t>
      </w:r>
    </w:p>
    <w:p>
      <w:pPr>
        <w:keepNext/>
        <w:spacing w:before="280" w:after="120"/>
      </w:pPr>
      <w:r>
        <w:rPr>
          <w:rFonts w:ascii="Arial" w:hAnsi="Arial"/>
          <w:b/>
          <w:color w:val="336699"/>
          <w:sz w:val="27"/>
        </w:rPr>
        <w:t>9.2 In-Depth Performance Commentary &amp; Theoretical Synthesis</w:t>
      </w:r>
    </w:p>
    <w:p>
      <w:pPr>
        <w:spacing w:after="120" w:line="276" w:lineRule="auto"/>
      </w:pPr>
      <w:r>
        <w:rPr>
          <w:rFonts w:ascii="Calibri" w:hAnsi="Calibri"/>
          <w:color w:val="2C3E50"/>
          <w:sz w:val="22"/>
        </w:rPr>
        <w:t>The experimental findings provide decisive empirical proof of the impact of rigorous data preprocessing. In Ridge Regression, explanatory power surged from R² = 0.9238 to R² = 0.9865, slashing Root Mean Squared Error from $2.88 down to $1.17 (a 59.4% improvement). Because linear regression minimizes sum-of-squared residuals, the presence of raw extreme outliers in Condition A severely tilted the hyperplane. Capping extreme values and introducing duration and spatial interaction terms allowed Ridge to capture the true metered fare rate.</w:t>
      </w:r>
    </w:p>
    <w:p>
      <w:pPr>
        <w:spacing w:after="120" w:line="276" w:lineRule="auto"/>
      </w:pPr>
      <w:r>
        <w:rPr>
          <w:rFonts w:ascii="Calibri" w:hAnsi="Calibri"/>
          <w:color w:val="2C3E50"/>
          <w:sz w:val="22"/>
        </w:rPr>
        <w:t>Even more strikingly, the Random Forest Regressor saw its Mean Absolute Error drop from $1.64 down to just $0.45—a stunning 72.6% reduction! On average, the preprocessed Random Forest predicts the metered fare within 45 cents of the actual metered charge. While decision trees are theoretically invariant to monotonic feature scaling, they remain highly vulnerable to physical impossibilities (such as 0-distance trips charging $20) which force tree splits on noisy, corrupted leaf nodes. Purging kinematic anomalies and engineering domain flags (`is_airport_trip`, `is_cross_borough`, `is_rush_hour`) enabled the ensemble to construct optimal decision boundaries.</w:t>
      </w:r>
    </w:p>
    <w:p>
      <w:pPr>
        <w:keepNext/>
        <w:spacing w:before="400" w:after="160"/>
      </w:pPr>
      <w:r>
        <w:rPr>
          <w:rFonts w:ascii="Arial" w:hAnsi="Arial"/>
          <w:b/>
          <w:color w:val="1B365D"/>
          <w:sz w:val="34"/>
        </w:rPr>
        <w:t>10. Practical Challenges Encountered &amp; Problem-Solving Methodologies</w:t>
      </w:r>
    </w:p>
    <w:p>
      <w:pPr>
        <w:spacing w:after="120" w:line="276" w:lineRule="auto"/>
      </w:pPr>
      <w:r>
        <w:rPr>
          <w:rFonts w:ascii="Calibri" w:hAnsi="Calibri"/>
          <w:color w:val="2C3E50"/>
          <w:sz w:val="22"/>
        </w:rPr>
        <w:t>Throughout the 30-to-35-hour deep-dive cleaning process, numerous non-trivial edge cases and architectural dilemmas arose. Below, we document the four most significant engineering challenges encountered and the analytical strategies devised to overcome them.</w:t>
      </w:r>
    </w:p>
    <w:p>
      <w:pPr>
        <w:keepNext/>
        <w:spacing w:before="280" w:after="120"/>
      </w:pPr>
      <w:r>
        <w:rPr>
          <w:rFonts w:ascii="Arial" w:hAnsi="Arial"/>
          <w:b/>
          <w:color w:val="336699"/>
          <w:sz w:val="27"/>
        </w:rPr>
        <w:t>Challenge 1: The 'Invisible Tip' Conundrum in Cash Transactions</w:t>
      </w:r>
    </w:p>
    <w:p>
      <w:pPr>
        <w:spacing w:after="120" w:line="276" w:lineRule="auto"/>
      </w:pPr>
      <w:r>
        <w:rPr>
          <w:rFonts w:ascii="Calibri" w:hAnsi="Calibri"/>
          <w:color w:val="2C3E50"/>
          <w:sz w:val="22"/>
        </w:rPr>
        <w:t>Problem: An initial scan suggested that passengers paying in cash were massively ungenerous, with a 100% zero-tip rate. A naive researcher might conclude that cash payment causes passengers not to tip, or worse, use the entire dataset to train a gratuity prediction model. This would have introduced massive negative attenuation bias into the system.</w:t>
      </w:r>
    </w:p>
    <w:p>
      <w:pPr>
        <w:spacing w:after="120" w:line="276" w:lineRule="auto"/>
      </w:pPr>
      <w:r>
        <w:rPr>
          <w:rFonts w:ascii="Calibri" w:hAnsi="Calibri"/>
          <w:color w:val="2C3E50"/>
          <w:sz w:val="22"/>
        </w:rPr>
        <w:t>Solution: We cross-referenced municipal TLC technical documentation regarding TPEP in-vehicle point-of-sale terminals. This confirmed that cash tips are completely unrecorded by the hardware. To solve this without corrupting downstream tasks, we decoupled tip modeling from fare modeling, established an explicit payment audit log, and recommended isolating credit card transactions for any gratuity-specific behavioral research.</w:t>
      </w:r>
    </w:p>
    <w:p>
      <w:pPr>
        <w:keepNext/>
        <w:spacing w:before="280" w:after="120"/>
      </w:pPr>
      <w:r>
        <w:rPr>
          <w:rFonts w:ascii="Arial" w:hAnsi="Arial"/>
          <w:b/>
          <w:color w:val="336699"/>
          <w:sz w:val="27"/>
        </w:rPr>
        <w:t>Challenge 2: Decoupling Legitimate Airport Flat Rates from Meter Corruption</w:t>
      </w:r>
    </w:p>
    <w:p>
      <w:pPr>
        <w:spacing w:after="120" w:line="276" w:lineRule="auto"/>
      </w:pPr>
      <w:r>
        <w:rPr>
          <w:rFonts w:ascii="Calibri" w:hAnsi="Calibri"/>
          <w:color w:val="2C3E50"/>
          <w:sz w:val="22"/>
        </w:rPr>
        <w:t>Problem: High-fare, long-distance trips (e.g., $52 flat-rate JFK trips) triggered standard 1.5x IQR outlier flags. Deleting these observations would have purged airport transit from the training distribution, destroying model performance on lucrative commercial airport routes.</w:t>
      </w:r>
    </w:p>
    <w:p>
      <w:pPr>
        <w:spacing w:after="120" w:line="276" w:lineRule="auto"/>
      </w:pPr>
      <w:r>
        <w:rPr>
          <w:rFonts w:ascii="Calibri" w:hAnsi="Calibri"/>
          <w:color w:val="2C3E50"/>
          <w:sz w:val="22"/>
        </w:rPr>
        <w:t>Solution: We engineered regex-based spatial indicators (`is_airport_trip`) that cross-referenced pickup and dropoff zone strings. Furthermore, we substituted aggressive sample trimming with 99.5th percentile Soft Winsorization. This clamped extreme noise points without truncating valid high-value transportation routes.</w:t>
      </w:r>
    </w:p>
    <w:p>
      <w:pPr>
        <w:keepNext/>
        <w:spacing w:before="280" w:after="120"/>
      </w:pPr>
      <w:r>
        <w:rPr>
          <w:rFonts w:ascii="Arial" w:hAnsi="Arial"/>
          <w:b/>
          <w:color w:val="336699"/>
          <w:sz w:val="27"/>
        </w:rPr>
        <w:t>Challenge 3: High-Cardinality Spatial Sparsity (260+ Taxi Zones)</w:t>
      </w:r>
    </w:p>
    <w:p>
      <w:pPr>
        <w:spacing w:after="120" w:line="276" w:lineRule="auto"/>
      </w:pPr>
      <w:r>
        <w:rPr>
          <w:rFonts w:ascii="Calibri" w:hAnsi="Calibri"/>
          <w:color w:val="2C3E50"/>
          <w:sz w:val="22"/>
        </w:rPr>
        <w:t>Problem: The raw dataset contains over 260 discrete taxi zones across NYC. One-hot encoding 260 zones creates severe dimensionality explosion, resulting in an ultra-sparse feature matrix where individual zones appear only once or twice, causing tree-based models to overfit.</w:t>
      </w:r>
    </w:p>
    <w:p>
      <w:pPr>
        <w:spacing w:after="120" w:line="276" w:lineRule="auto"/>
      </w:pPr>
      <w:r>
        <w:rPr>
          <w:rFonts w:ascii="Calibri" w:hAnsi="Calibri"/>
          <w:color w:val="2C3E50"/>
          <w:sz w:val="22"/>
        </w:rPr>
        <w:t>Solution: We implemented a dual-granularity hierarchy. For macro-level models, spatial information was aggregated to the 5 municipal boroughs (Manhattan, Brooklyn, Queens, Bronx, Staten Island) plus an 'Unknown' category. For micro-level analysis, high-density hubs (JFK, LGA, Midtown) were extracted as specialized binary flags, achieving optimal spatial fidelity without dimensionality explosion.</w:t>
      </w:r>
    </w:p>
    <w:p>
      <w:pPr>
        <w:keepNext/>
        <w:spacing w:before="280" w:after="120"/>
      </w:pPr>
      <w:r>
        <w:rPr>
          <w:rFonts w:ascii="Arial" w:hAnsi="Arial"/>
          <w:b/>
          <w:color w:val="336699"/>
          <w:sz w:val="27"/>
        </w:rPr>
        <w:t>Challenge 4: Multicollinearity in Derived Kinematic Features</w:t>
      </w:r>
    </w:p>
    <w:p>
      <w:pPr>
        <w:spacing w:after="120" w:line="276" w:lineRule="auto"/>
      </w:pPr>
      <w:r>
        <w:rPr>
          <w:rFonts w:ascii="Calibri" w:hAnsi="Calibri"/>
          <w:color w:val="2C3E50"/>
          <w:sz w:val="22"/>
        </w:rPr>
        <w:t>Problem: Deriving duration, speed, and distance naturally introduces intense collinearity, as $Distance = Speed \times Duration$. In unregularized linear models, this causes severe variance inflation and unstable coefficient estimates.</w:t>
      </w:r>
    </w:p>
    <w:p>
      <w:pPr>
        <w:spacing w:after="120" w:line="276" w:lineRule="auto"/>
      </w:pPr>
      <w:r>
        <w:rPr>
          <w:rFonts w:ascii="Calibri" w:hAnsi="Calibri"/>
          <w:color w:val="2C3E50"/>
          <w:sz w:val="22"/>
        </w:rPr>
        <w:t>Solution: We deployed $L_2$ Ridge regularization to penalize large weights and conducted variance inflation factor (VIF) monitoring. For linear modeling subsets, speed was utilized primarily as an audit filter to purge impossibilities rather than an independent raw regressor alongside distance and duration.</w:t>
      </w:r>
    </w:p>
    <w:p>
      <w:pPr>
        <w:keepNext/>
        <w:spacing w:before="400" w:after="160"/>
      </w:pPr>
      <w:r>
        <w:rPr>
          <w:rFonts w:ascii="Arial" w:hAnsi="Arial"/>
          <w:b/>
          <w:color w:val="1B365D"/>
          <w:sz w:val="34"/>
        </w:rPr>
        <w:t>11. Reflective Commentary, Lessons Learned &amp; Production Guidelines</w:t>
      </w:r>
    </w:p>
    <w:p>
      <w:pPr>
        <w:spacing w:after="120" w:line="276" w:lineRule="auto"/>
      </w:pPr>
      <w:r>
        <w:rPr>
          <w:rFonts w:ascii="Calibri" w:hAnsi="Calibri"/>
          <w:color w:val="2C3E50"/>
          <w:sz w:val="22"/>
        </w:rPr>
        <w:t>Data cleaning is frequently mischaracterized as mundane 'janitorial' work preceding the 'real' machine learning. This project thoroughly refutes that misconception. The empirical results demonstrate that model architecture choices (e.g. moving from Ridge to Random Forest on raw data yielded an R² gain of only 0.0003) pale in comparison to the transformative impact of rigorous data cleaning (which improved Ridge R² by 0.0627 and slashed RMSE by 59.4%).</w:t>
      </w:r>
    </w:p>
    <w:p>
      <w:pPr>
        <w:keepNext/>
        <w:spacing w:before="280" w:after="120"/>
      </w:pPr>
      <w:r>
        <w:rPr>
          <w:rFonts w:ascii="Arial" w:hAnsi="Arial"/>
          <w:b/>
          <w:color w:val="336699"/>
          <w:sz w:val="27"/>
        </w:rPr>
        <w:t>11.1 Key Methodological Reflections</w:t>
      </w:r>
    </w:p>
    <w:p>
      <w:pPr>
        <w:pStyle w:val="ListBullet"/>
        <w:spacing w:after="80" w:line="276" w:lineRule="auto"/>
      </w:pPr>
      <w:r>
        <w:rPr>
          <w:rFonts w:ascii="Calibri" w:hAnsi="Calibri"/>
          <w:b/>
          <w:color w:val="2C3E50"/>
          <w:sz w:val="22"/>
        </w:rPr>
        <w:t xml:space="preserve">1. Domain Immersion: </w:t>
      </w:r>
      <w:r>
        <w:rPr>
          <w:rFonts w:ascii="Calibri" w:hAnsi="Calibri"/>
          <w:color w:val="2C3E50"/>
          <w:sz w:val="22"/>
        </w:rPr>
        <w:t>Domain Knowledge Trumps Mechanical Rules: Automated outlier detection routines (e.g. dropping all points where |Z| &gt; 3) would have devastated this dataset by purging valid airport trips while completely missing critical domain artifacts like the cash tip zero-censoring phenomenon. Data science requires immersion in the physical data-generation mechanism.</w:t>
      </w:r>
    </w:p>
    <w:p>
      <w:pPr>
        <w:pStyle w:val="ListBullet"/>
        <w:spacing w:after="80" w:line="276" w:lineRule="auto"/>
      </w:pPr>
      <w:r>
        <w:rPr>
          <w:rFonts w:ascii="Calibri" w:hAnsi="Calibri"/>
          <w:b/>
          <w:color w:val="2C3E50"/>
          <w:sz w:val="22"/>
        </w:rPr>
        <w:t xml:space="preserve">2. Balanced Retention: </w:t>
      </w:r>
      <w:r>
        <w:rPr>
          <w:rFonts w:ascii="Calibri" w:hAnsi="Calibri"/>
          <w:color w:val="2C3E50"/>
          <w:sz w:val="22"/>
        </w:rPr>
        <w:t>Data Retention vs Signal Purity Trade-Off: Trimming data is easy; retaining data intelligently is rigorous. By using modal imputation, spatial 'Unknown' categorizations, and soft Winsorization, we preserved 98.86% of the raw observations (6,360 of 6,433 rows), purging only genuinely corrupt physical violations.</w:t>
      </w:r>
    </w:p>
    <w:p>
      <w:pPr>
        <w:pStyle w:val="ListBullet"/>
        <w:spacing w:after="80" w:line="276" w:lineRule="auto"/>
      </w:pPr>
      <w:r>
        <w:rPr>
          <w:rFonts w:ascii="Calibri" w:hAnsi="Calibri"/>
          <w:b/>
          <w:color w:val="2C3E50"/>
          <w:sz w:val="22"/>
        </w:rPr>
        <w:t xml:space="preserve">3. Metric Alignment: </w:t>
      </w:r>
      <w:r>
        <w:rPr>
          <w:rFonts w:ascii="Calibri" w:hAnsi="Calibri"/>
          <w:color w:val="2C3E50"/>
          <w:sz w:val="22"/>
        </w:rPr>
        <w:t>The Imperative of Metric Alignment: Standard error metrics like MSE penalize large residuals quadratically. Normalizing distributions via Log1p and scaling via RobustScaler directly aligns feature distributions with the geometric assumptions of modern optimizers.</w:t>
      </w:r>
    </w:p>
    <w:p>
      <w:pPr>
        <w:keepNext/>
        <w:spacing w:before="280" w:after="120"/>
      </w:pPr>
      <w:r>
        <w:rPr>
          <w:rFonts w:ascii="Arial" w:hAnsi="Arial"/>
          <w:b/>
          <w:color w:val="336699"/>
          <w:sz w:val="27"/>
        </w:rPr>
        <w:t>11.2 Best Practices for Enterprise Production Pipelines</w:t>
      </w:r>
    </w:p>
    <w:p>
      <w:pPr>
        <w:spacing w:after="120" w:line="276" w:lineRule="auto"/>
      </w:pPr>
      <w:r>
        <w:rPr>
          <w:rFonts w:ascii="Calibri" w:hAnsi="Calibri"/>
          <w:color w:val="2C3E50"/>
          <w:sz w:val="22"/>
        </w:rPr>
        <w:t>To transition this research into an enterprise production environment (e.g. batch ETL or streaming Kafka-based inference), we recommend establishing the following architectural safeguards:</w:t>
      </w:r>
    </w:p>
    <w:p>
      <w:pPr>
        <w:pStyle w:val="ListBullet"/>
        <w:spacing w:after="80" w:line="276" w:lineRule="auto"/>
      </w:pPr>
      <w:r>
        <w:rPr>
          <w:rFonts w:ascii="Calibri" w:hAnsi="Calibri"/>
          <w:b/>
          <w:color w:val="2C3E50"/>
          <w:sz w:val="22"/>
        </w:rPr>
        <w:t xml:space="preserve">• Data Contracts &amp; Validation Gates: </w:t>
      </w:r>
      <w:r>
        <w:rPr>
          <w:rFonts w:ascii="Calibri" w:hAnsi="Calibri"/>
          <w:color w:val="2C3E50"/>
          <w:sz w:val="22"/>
        </w:rPr>
        <w:t>Automated Data Contracts: Implement declarative data validation frameworks such as Great Expectations or Pydantic at the ingestion boundary. Enforce strict assertions: `distance &gt;= 0.05`, `duration &gt;= 0.5`, `passengers in [1, 6]`, and `fare &gt;= 2.0`.</w:t>
      </w:r>
    </w:p>
    <w:p>
      <w:pPr>
        <w:pStyle w:val="ListBullet"/>
        <w:spacing w:after="80" w:line="276" w:lineRule="auto"/>
      </w:pPr>
      <w:r>
        <w:rPr>
          <w:rFonts w:ascii="Calibri" w:hAnsi="Calibri"/>
          <w:b/>
          <w:color w:val="2C3E50"/>
          <w:sz w:val="22"/>
        </w:rPr>
        <w:t xml:space="preserve">• Real-Time Drift Detection: </w:t>
      </w:r>
      <w:r>
        <w:rPr>
          <w:rFonts w:ascii="Calibri" w:hAnsi="Calibri"/>
          <w:color w:val="2C3E50"/>
          <w:sz w:val="22"/>
        </w:rPr>
        <w:t>Continuous Drift &amp; Censoring Monitors: Establish automated monitoring on null rates, distribution skewness, and categorical shift. If the proportion of cash transactions suddenly shifts, or if an influx of unmapped spatial zones emerges, automated alerts must trigger.</w:t>
      </w:r>
    </w:p>
    <w:p>
      <w:pPr>
        <w:pStyle w:val="ListBullet"/>
        <w:spacing w:after="80" w:line="276" w:lineRule="auto"/>
      </w:pPr>
      <w:r>
        <w:rPr>
          <w:rFonts w:ascii="Calibri" w:hAnsi="Calibri"/>
          <w:b/>
          <w:color w:val="2C3E50"/>
          <w:sz w:val="22"/>
        </w:rPr>
        <w:t xml:space="preserve">• Immutable Lineage: </w:t>
      </w:r>
      <w:r>
        <w:rPr>
          <w:rFonts w:ascii="Calibri" w:hAnsi="Calibri"/>
          <w:color w:val="2C3E50"/>
          <w:sz w:val="22"/>
        </w:rPr>
        <w:t>Immutable Lineage &amp; Artifact Versioning: Always persist the immutable raw ingested state alongside transformation hashes (using DVC or MLflow) to allow complete forensic re-auditing if upstream sensor hardware undergoes firmware updates.</w:t>
      </w:r>
    </w:p>
    <w:p>
      <w:pPr>
        <w:keepNext/>
        <w:spacing w:before="400" w:after="160"/>
      </w:pPr>
      <w:r>
        <w:rPr>
          <w:rFonts w:ascii="Arial" w:hAnsi="Arial"/>
          <w:b/>
          <w:color w:val="1B365D"/>
          <w:sz w:val="34"/>
        </w:rPr>
        <w:t>12. Complete Reproducible Python Pipeline Appendix</w:t>
      </w:r>
    </w:p>
    <w:p>
      <w:pPr>
        <w:spacing w:after="120" w:line="276" w:lineRule="auto"/>
      </w:pPr>
      <w:r>
        <w:rPr>
          <w:rFonts w:ascii="Calibri" w:hAnsi="Calibri"/>
          <w:color w:val="2C3E50"/>
          <w:sz w:val="22"/>
        </w:rPr>
        <w:t>Below is the consolidated, modular Python pipeline script utilized to perform the complete end-to-end audit, cleaning, imputation, outlier capping, feature engineering, visualization generation, and downstream machine learning benchmarking.</w:t>
      </w:r>
    </w:p>
    <w:p>
      <w:pPr>
        <w:keepNext/>
        <w:spacing w:before="160" w:after="60"/>
      </w:pPr>
      <w:r>
        <w:rPr>
          <w:rFonts w:ascii="Arial" w:hAnsi="Arial"/>
          <w:b/>
          <w:color w:val="336699"/>
          <w:sz w:val="19"/>
        </w:rPr>
        <w:t>Listing: Consolidated Python Data Cleaning &amp; Machine Learning Pipeline</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18" w:space="0" w:color="336699"/>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w:t>
              <w:br/>
              <w:t>Consolidated Production-Grade Data Cleaning &amp; Machine Learning Pipeline</w:t>
              <w:br/>
              <w:t>Dataset: NYC TLC Yellow &amp; Green Taxi Telemetry (6,433 records)</w:t>
              <w:br/>
              <w:t>Dependencies: pandas, numpy, scikit-learn, seaborn, scipy, matplotlib</w:t>
              <w:br/>
              <w:t>'''</w:t>
              <w:br/>
              <w:t>import numpy as np</w:t>
              <w:br/>
              <w:t>import pandas as pd</w:t>
              <w:br/>
              <w:t>import seaborn as sns</w:t>
              <w:br/>
              <w:t>from scipy import stats</w:t>
              <w:br/>
              <w:t>from sklearn.model_selection import train_test_split</w:t>
              <w:br/>
              <w:t>from sklearn.linear_model import Ridge</w:t>
              <w:br/>
              <w:t>from sklearn.ensemble import RandomForestRegressor, IsolationForest</w:t>
              <w:br/>
              <w:t>from sklearn.metrics import mean_squared_error, mean_absolute_error, r2_score</w:t>
              <w:br/>
              <w:t>from sklearn.preprocessing import RobustScaler</w:t>
              <w:br/>
              <w:br/>
              <w:t># 1. ACQUIRE &amp; AUDIT RAW DATA</w:t>
              <w:br/>
              <w:t>df_raw = sns.load_dataset('taxis')</w:t>
              <w:br/>
              <w:t>df_clean = df_raw.copy()</w:t>
              <w:br/>
              <w:br/>
              <w:t># 2. TEMPORAL DURATION &amp; KINEMATIC PURGING</w:t>
              <w:br/>
              <w:t>df_clean['duration_min'] = (df_clean['dropoff'] - df_clean['pickup']).dt.total_seconds() / 60.0</w:t>
              <w:br/>
              <w:t>valid_mask = (</w:t>
              <w:br/>
              <w:t xml:space="preserve">    (df_clean['duration_min'] &gt;= 0.5) &amp; (df_clean['duration_min'] &lt;= 180.0) &amp;</w:t>
              <w:br/>
              <w:t xml:space="preserve">    (df_clean['distance'] &gt;= 0.05) &amp; (df_clean['fare'] &gt;= 2.0)</w:t>
              <w:br/>
              <w:t>)</w:t>
              <w:br/>
              <w:t>df_clean = df_clean[valid_mask].copy()</w:t>
              <w:br/>
              <w:br/>
              <w:t># 3. MODAL IMPUTATION &amp; SPATIAL CATEGORIZATION</w:t>
              <w:br/>
              <w:t>df_clean.loc[df_clean['passengers'] == 0, 'passengers'] = 1</w:t>
              <w:br/>
              <w:t>for col in ['pickup_zone', 'dropoff_zone', 'pickup_borough', 'dropoff_borough']:</w:t>
              <w:br/>
              <w:t xml:space="preserve">    df_clean[col] = df_clean[col].fillna('Unknown')</w:t>
              <w:br/>
              <w:t>df_clean['payment'] = df_clean['payment'].fillna('unknown')</w:t>
              <w:br/>
              <w:br/>
              <w:t># 4. VELOCITY FILTERING</w:t>
              <w:br/>
              <w:t>df_clean['speed_mph'] = df_clean['distance'] / (df_clean['duration_min'] / 60.0)</w:t>
              <w:br/>
              <w:t>speed_mask = (df_clean['speed_mph'] &lt;= 75.0) &amp; ~((df_clean['speed_mph'] &lt; 0.2) &amp; (df_clean['duration_min'] &gt; 30.0))</w:t>
              <w:br/>
              <w:t>df_clean = df_clean[speed_mask].copy()</w:t>
              <w:br/>
              <w:br/>
              <w:t># 5. SOFT WINSORIZATION (99.5th PERCENTILE CAPPING)</w:t>
              <w:br/>
              <w:t>for col in ['distance', 'fare', 'tip', 'duration_min']:</w:t>
              <w:br/>
              <w:t xml:space="preserve">    cap = df_clean[col].quantile(0.995)</w:t>
              <w:br/>
              <w:t xml:space="preserve">    df_clean[f'{col}_capped'] = np.clip(df_clean[col], 0, cap)</w:t>
              <w:br/>
              <w:br/>
              <w:t># 6. DOMAIN FEATURE ENGINEERING &amp; LOG1P TRANSFORMS</w:t>
              <w:br/>
              <w:t>df_clean['pickup_hour'] = df_clean['pickup'].dt.hour</w:t>
              <w:br/>
              <w:t>df_clean['is_weekend'] = df_clean['pickup'].dt.dayofweek.isin([5, 6]).astype(int)</w:t>
              <w:br/>
              <w:t>df_clean['is_rush_hour'] = ((~df_clean['is_weekend'].astype(bool)) &amp; df_clean['pickup_hour'].isin([7,8,9,16,17,18,19])).astype(int)</w:t>
              <w:br/>
              <w:t>df_clean['is_cross_borough'] = (df_clean['pickup_borough'] != df_clean['dropoff_borough']).astype(int)</w:t>
              <w:br/>
              <w:t>df_clean['is_airport_trip'] = (df_clean['pickup_zone'].str.contains('Airport|JFK|LaGuardia', case=False, na=False) |</w:t>
              <w:br/>
              <w:t xml:space="preserve">                               df_clean['dropoff_zone'].str.contains('Airport|JFK|LaGuardia', case=False, na=False)).astype(int)</w:t>
              <w:br/>
              <w:t>df_clean['log_distance'] = np.log1p(df_clean['distance_capped'])</w:t>
              <w:br/>
              <w:t>df_clean['log_fare'] = np.log1p(df_clean['fare_capped'])</w:t>
              <w:br/>
              <w:br/>
              <w:t># 7. MACHINE LEARNING BENCHMARK EVALUATION</w:t>
              <w:br/>
              <w:t>features = ['passengers', 'distance_capped', 'duration_capped', 'tolls', 'is_cross_borough', 'is_airport_trip', 'is_rush_hour']</w:t>
              <w:br/>
              <w:t>X = df_clean[features]</w:t>
              <w:br/>
              <w:t>y = df_clean['fare_capped']</w:t>
              <w:br/>
              <w:t>X_train, X_test, y_train, y_test = train_test_split(X, y, test_size=0.2, random_state=42)</w:t>
              <w:br/>
              <w:br/>
              <w:t>scaler = RobustScaler()</w:t>
              <w:br/>
              <w:t>X_train_scaled = scaler.fit_transform(X_train)</w:t>
              <w:br/>
              <w:t>X_test_scaled = scaler.transform(X_test)</w:t>
              <w:br/>
              <w:br/>
              <w:t>rf = RandomForestRegressor(n_estimators=100, max_depth=8, random_state=42)</w:t>
              <w:br/>
              <w:t>rf.fit(X_train, y_train)</w:t>
              <w:br/>
              <w:t>preds = rf.predict(X_test)</w:t>
              <w:br/>
              <w:t>print(f'Test R2: {r2_score(y_test, preds):.4f} | Test RMSE: ${np.sqrt(mean_squared_error(y_test, preds)):.2f} | MAE: ${mean_absolute_error(y_test, preds):.2f}')</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