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p>
    <w:p>
      <w:pPr>
        <w:spacing w:before="0" w:after="80"/>
        <w:jc w:val="center"/>
      </w:pPr>
      <w:r>
        <w:rPr>
          <w:rFonts w:ascii="Arial" w:cs="Arial" w:eastAsia="Arial" w:hAnsi="Arial"/>
          <w:b/>
          <w:bCs/>
          <w:color w:val="00AEEF"/>
          <w:sz w:val="22"/>
          <w:szCs w:val="22"/>
        </w:rPr>
        <w:t xml:space="preserve">BARCLAYS HACK-O-HIRE  ·  2026</w:t>
      </w:r>
    </w:p>
    <w:p>
      <w:pPr>
        <w:pBdr>
          <w:bottom w:val="single" w:color="00AEEF" w:sz="16" w:space="12"/>
        </w:pBdr>
        <w:spacing w:before="0" w:after="600"/>
        <w:jc w:val="center"/>
      </w:pPr>
      <w:r>
        <w:rPr>
          <w:rFonts w:ascii="Arial" w:cs="Arial" w:eastAsia="Arial" w:hAnsi="Arial"/>
          <w:color w:val="7090B0"/>
          <w:sz w:val="20"/>
          <w:szCs w:val="20"/>
        </w:rPr>
        <w:t xml:space="preserve">Enterprise AI Compliance System  ·  Technical Submission</w:t>
      </w:r>
    </w:p>
    <w:p>
      <w:pPr>
        <w:spacing w:before="0" w:after="100"/>
      </w:pPr>
    </w:p>
    <w:p>
      <w:pPr>
        <w:spacing w:before="0" w:after="100"/>
        <w:jc w:val="center"/>
      </w:pPr>
      <w:r>
        <w:rPr>
          <w:rFonts w:ascii="Arial" w:cs="Arial" w:eastAsia="Arial" w:hAnsi="Arial"/>
          <w:b/>
          <w:bCs/>
          <w:color w:val="0A1F3D"/>
          <w:sz w:val="76"/>
          <w:szCs w:val="76"/>
        </w:rPr>
        <w:t xml:space="preserve">SAR Narrative Generator</w:t>
      </w:r>
    </w:p>
    <w:p>
      <w:pPr>
        <w:spacing w:before="0" w:after="60"/>
        <w:jc w:val="center"/>
      </w:pPr>
      <w:r>
        <w:rPr>
          <w:rFonts w:ascii="Arial" w:cs="Arial" w:eastAsia="Arial" w:hAnsi="Arial"/>
          <w:b/>
          <w:bCs/>
          <w:color w:val="1A4E8A"/>
          <w:sz w:val="44"/>
          <w:szCs w:val="44"/>
        </w:rPr>
        <w:t xml:space="preserve">with Intelligent Audit Trail</w:t>
      </w:r>
    </w:p>
    <w:p>
      <w:pPr>
        <w:spacing w:before="0" w:after="600"/>
        <w:jc w:val="center"/>
      </w:pPr>
      <w:r>
        <w:rPr>
          <w:rFonts w:ascii="Arial" w:cs="Arial" w:eastAsia="Arial" w:hAnsi="Arial"/>
          <w:i/>
          <w:iCs/>
          <w:color w:val="6080A0"/>
          <w:sz w:val="18"/>
          <w:szCs w:val="18"/>
        </w:rPr>
        <w:t xml:space="preserve">Evidence-Bounded Generation  ·  Deterministic AML Logic  ·  Regulator-Replayable Auditability</w:t>
      </w:r>
    </w:p>
    <w:p>
      <w:pPr>
        <w:spacing w:before="0" w:after="1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8D8E8" w:sz="1"/>
              <w:left w:val="single" w:color="C8D8E8" w:sz="1"/>
              <w:bottom w:val="single" w:color="C8D8E8" w:sz="1"/>
              <w:right w:val="single" w:color="C8D8E8" w:sz="1"/>
            </w:tcBorders>
            <w:shd w:fill="0A1F3D" w:val="clear"/>
            <w:tcMar>
              <w:top w:type="dxa" w:w="90"/>
              <w:left w:type="dxa" w:w="130"/>
              <w:bottom w:type="dxa" w:w="90"/>
              <w:right w:type="dxa" w:w="130"/>
            </w:tcMar>
            <w:vAlign w:val="top"/>
          </w:tcPr>
          <w:p>
            <w:pPr>
              <w:jc w:val="left"/>
            </w:pPr>
            <w:r>
              <w:rPr>
                <w:rFonts w:ascii="Arial" w:cs="Arial" w:eastAsia="Arial" w:hAnsi="Arial"/>
                <w:b/>
                <w:bCs/>
                <w:color w:val="00AEEF"/>
                <w:sz w:val="20"/>
                <w:szCs w:val="20"/>
              </w:rPr>
              <w:t xml:space="preserve">Team</w:t>
            </w:r>
          </w:p>
        </w:tc>
        <w:tc>
          <w:tcPr>
            <w:tcW w:type="dxa" w:w="4400"/>
            <w:tcBorders>
              <w:top w:val="single" w:color="C8D8E8" w:sz="1"/>
              <w:left w:val="single" w:color="C8D8E8" w:sz="1"/>
              <w:bottom w:val="single" w:color="C8D8E8" w:sz="1"/>
              <w:right w:val="single" w:color="C8D8E8" w:sz="1"/>
            </w:tcBorders>
            <w:shd w:fill="EBF4FB"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Dominos</w:t>
            </w:r>
          </w:p>
        </w:tc>
      </w:tr>
      <w:tr>
        <w:tc>
          <w:tcPr>
            <w:tcW w:type="dxa" w:w="2800"/>
            <w:tcBorders>
              <w:top w:val="single" w:color="C8D8E8" w:sz="1"/>
              <w:left w:val="single" w:color="C8D8E8" w:sz="1"/>
              <w:bottom w:val="single" w:color="C8D8E8" w:sz="1"/>
              <w:right w:val="single" w:color="C8D8E8" w:sz="1"/>
            </w:tcBorders>
            <w:shd w:fill="0A1F3D" w:val="clear"/>
            <w:tcMar>
              <w:top w:type="dxa" w:w="90"/>
              <w:left w:type="dxa" w:w="130"/>
              <w:bottom w:type="dxa" w:w="90"/>
              <w:right w:type="dxa" w:w="130"/>
            </w:tcMar>
            <w:vAlign w:val="top"/>
          </w:tcPr>
          <w:p>
            <w:pPr>
              <w:jc w:val="left"/>
            </w:pPr>
            <w:r>
              <w:rPr>
                <w:rFonts w:ascii="Arial" w:cs="Arial" w:eastAsia="Arial" w:hAnsi="Arial"/>
                <w:b/>
                <w:bCs/>
                <w:color w:val="00AEEF"/>
                <w:sz w:val="20"/>
                <w:szCs w:val="20"/>
              </w:rPr>
              <w:t xml:space="preserve">Track</w:t>
            </w:r>
          </w:p>
        </w:tc>
        <w:tc>
          <w:tcPr>
            <w:tcW w:type="dxa" w:w="4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SAR Narrative Generator with Audit Trail</w:t>
            </w:r>
          </w:p>
        </w:tc>
      </w:tr>
      <w:tr>
        <w:tc>
          <w:tcPr>
            <w:tcW w:type="dxa" w:w="2800"/>
            <w:tcBorders>
              <w:top w:val="single" w:color="C8D8E8" w:sz="1"/>
              <w:left w:val="single" w:color="C8D8E8" w:sz="1"/>
              <w:bottom w:val="single" w:color="C8D8E8" w:sz="1"/>
              <w:right w:val="single" w:color="C8D8E8" w:sz="1"/>
            </w:tcBorders>
            <w:shd w:fill="0A1F3D" w:val="clear"/>
            <w:tcMar>
              <w:top w:type="dxa" w:w="90"/>
              <w:left w:type="dxa" w:w="130"/>
              <w:bottom w:type="dxa" w:w="90"/>
              <w:right w:type="dxa" w:w="130"/>
            </w:tcMar>
            <w:vAlign w:val="top"/>
          </w:tcPr>
          <w:p>
            <w:pPr>
              <w:jc w:val="left"/>
            </w:pPr>
            <w:r>
              <w:rPr>
                <w:rFonts w:ascii="Arial" w:cs="Arial" w:eastAsia="Arial" w:hAnsi="Arial"/>
                <w:b/>
                <w:bCs/>
                <w:color w:val="00AEEF"/>
                <w:sz w:val="20"/>
                <w:szCs w:val="20"/>
              </w:rPr>
              <w:t xml:space="preserve">Stack</w:t>
            </w:r>
          </w:p>
        </w:tc>
        <w:tc>
          <w:tcPr>
            <w:tcW w:type="dxa" w:w="4400"/>
            <w:tcBorders>
              <w:top w:val="single" w:color="C8D8E8" w:sz="1"/>
              <w:left w:val="single" w:color="C8D8E8" w:sz="1"/>
              <w:bottom w:val="single" w:color="C8D8E8" w:sz="1"/>
              <w:right w:val="single" w:color="C8D8E8" w:sz="1"/>
            </w:tcBorders>
            <w:shd w:fill="EBF4FB"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Python · FastAPI · Llama 3.1 · ChromaDB · PostgreSQL · React · Docker</w:t>
            </w:r>
          </w:p>
        </w:tc>
      </w:tr>
    </w:tbl>
    <w:p>
      <w:pPr>
        <w:spacing w:before="0" w:after="500"/>
      </w:pPr>
    </w:p>
    <w:p>
      <w:r>
        <w:br w:type="page"/>
      </w:r>
    </w:p>
    <w:p>
      <w:pPr>
        <w:pStyle w:val="Heading1"/>
        <w:pBdr>
          <w:bottom w:val="single" w:color="00AEEF" w:sz="10" w:space="5"/>
        </w:pBdr>
        <w:spacing w:before="400" w:after="160"/>
      </w:pPr>
      <w:r>
        <w:rPr>
          <w:rFonts w:ascii="Arial" w:cs="Arial" w:eastAsia="Arial" w:hAnsi="Arial"/>
          <w:b/>
          <w:bCs/>
          <w:color w:val="0A1F3D"/>
          <w:sz w:val="34"/>
          <w:szCs w:val="34"/>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AEEF" w:sz="1"/>
              <w:left w:val="single" w:color="00AEEF" w:sz="1"/>
              <w:bottom w:val="single" w:color="00AEEF" w:sz="1"/>
              <w:right w:val="single" w:color="00AEEF" w:sz="1"/>
            </w:tcBorders>
            <w:shd w:fill="0A1F3D" w:val="clear"/>
            <w:tcMar>
              <w:top w:type="dxa" w:w="120"/>
              <w:left w:type="dxa" w:w="130"/>
              <w:bottom w:type="dxa" w:w="80"/>
              <w:right w:type="dxa" w:w="130"/>
            </w:tcMar>
          </w:tcPr>
          <w:p>
            <w:pPr>
              <w:jc w:val="center"/>
            </w:pPr>
            <w:r>
              <w:rPr>
                <w:rFonts w:ascii="Arial" w:cs="Arial" w:eastAsia="Arial" w:hAnsi="Arial"/>
                <w:b/>
                <w:bCs/>
                <w:color w:val="00AEEF"/>
                <w:sz w:val="32"/>
                <w:szCs w:val="32"/>
              </w:rPr>
              <w:t xml:space="preserve">~75%</w:t>
            </w:r>
          </w:p>
        </w:tc>
        <w:tc>
          <w:tcPr>
            <w:tcW w:type="dxa" w:w="2340"/>
            <w:tcBorders>
              <w:top w:val="single" w:color="00AEEF" w:sz="1"/>
              <w:left w:val="single" w:color="00AEEF" w:sz="1"/>
              <w:bottom w:val="single" w:color="00AEEF" w:sz="1"/>
              <w:right w:val="single" w:color="00AEEF" w:sz="1"/>
            </w:tcBorders>
            <w:shd w:fill="0A1F3D" w:val="clear"/>
            <w:tcMar>
              <w:top w:type="dxa" w:w="120"/>
              <w:left w:type="dxa" w:w="130"/>
              <w:bottom w:type="dxa" w:w="80"/>
              <w:right w:type="dxa" w:w="130"/>
            </w:tcMar>
          </w:tcPr>
          <w:p>
            <w:pPr>
              <w:jc w:val="center"/>
            </w:pPr>
            <w:r>
              <w:rPr>
                <w:rFonts w:ascii="Arial" w:cs="Arial" w:eastAsia="Arial" w:hAnsi="Arial"/>
                <w:b/>
                <w:bCs/>
                <w:color w:val="00AEEF"/>
                <w:sz w:val="32"/>
                <w:szCs w:val="32"/>
              </w:rPr>
              <w:t xml:space="preserve">£3–5M</w:t>
            </w:r>
          </w:p>
        </w:tc>
        <w:tc>
          <w:tcPr>
            <w:tcW w:type="dxa" w:w="2340"/>
            <w:tcBorders>
              <w:top w:val="single" w:color="00AEEF" w:sz="1"/>
              <w:left w:val="single" w:color="00AEEF" w:sz="1"/>
              <w:bottom w:val="single" w:color="00AEEF" w:sz="1"/>
              <w:right w:val="single" w:color="00AEEF" w:sz="1"/>
            </w:tcBorders>
            <w:shd w:fill="0A1F3D" w:val="clear"/>
            <w:tcMar>
              <w:top w:type="dxa" w:w="120"/>
              <w:left w:type="dxa" w:w="130"/>
              <w:bottom w:type="dxa" w:w="80"/>
              <w:right w:type="dxa" w:w="130"/>
            </w:tcMar>
          </w:tcPr>
          <w:p>
            <w:pPr>
              <w:jc w:val="center"/>
            </w:pPr>
            <w:r>
              <w:rPr>
                <w:rFonts w:ascii="Arial" w:cs="Arial" w:eastAsia="Arial" w:hAnsi="Arial"/>
                <w:b/>
                <w:bCs/>
                <w:color w:val="00AEEF"/>
                <w:sz w:val="32"/>
                <w:szCs w:val="32"/>
              </w:rPr>
              <w:t xml:space="preserve">100%</w:t>
            </w:r>
          </w:p>
        </w:tc>
        <w:tc>
          <w:tcPr>
            <w:tcW w:type="dxa" w:w="2340"/>
            <w:tcBorders>
              <w:top w:val="single" w:color="00AEEF" w:sz="1"/>
              <w:left w:val="single" w:color="00AEEF" w:sz="1"/>
              <w:bottom w:val="single" w:color="00AEEF" w:sz="1"/>
              <w:right w:val="single" w:color="00AEEF" w:sz="1"/>
            </w:tcBorders>
            <w:shd w:fill="0A1F3D" w:val="clear"/>
            <w:tcMar>
              <w:top w:type="dxa" w:w="120"/>
              <w:left w:type="dxa" w:w="130"/>
              <w:bottom w:type="dxa" w:w="80"/>
              <w:right w:type="dxa" w:w="130"/>
            </w:tcMar>
          </w:tcPr>
          <w:p>
            <w:pPr>
              <w:jc w:val="center"/>
            </w:pPr>
            <w:r>
              <w:rPr>
                <w:rFonts w:ascii="Arial" w:cs="Arial" w:eastAsia="Arial" w:hAnsi="Arial"/>
                <w:b/>
                <w:bCs/>
                <w:color w:val="00AEEF"/>
                <w:sz w:val="32"/>
                <w:szCs w:val="32"/>
              </w:rPr>
              <w:t xml:space="preserve">Zero</w:t>
            </w:r>
          </w:p>
        </w:tc>
      </w:tr>
      <w:tr>
        <w:tc>
          <w:tcPr>
            <w:tcW w:type="dxa" w:w="2340"/>
            <w:tcBorders>
              <w:top w:val="single" w:color="00AEEF" w:sz="1"/>
              <w:left w:val="single" w:color="00AEEF" w:sz="1"/>
              <w:bottom w:val="single" w:color="00AEEF" w:sz="1"/>
              <w:right w:val="single" w:color="00AEEF" w:sz="1"/>
            </w:tcBorders>
            <w:shd w:fill="EBF4FB" w:val="clear"/>
            <w:tcMar>
              <w:top w:type="dxa" w:w="80"/>
              <w:left w:type="dxa" w:w="130"/>
              <w:bottom w:type="dxa" w:w="100"/>
              <w:right w:type="dxa" w:w="130"/>
            </w:tcMar>
          </w:tcPr>
          <w:p>
            <w:pPr>
              <w:jc w:val="center"/>
            </w:pPr>
            <w:r>
              <w:rPr>
                <w:rFonts w:ascii="Arial" w:cs="Arial" w:eastAsia="Arial" w:hAnsi="Arial"/>
                <w:b/>
                <w:bCs/>
                <w:color w:val="0A1F3D"/>
                <w:sz w:val="19"/>
                <w:szCs w:val="19"/>
              </w:rPr>
              <w:t xml:space="preserve">Reduction in analyst effort per SAR</w:t>
            </w:r>
          </w:p>
        </w:tc>
        <w:tc>
          <w:tcPr>
            <w:tcW w:type="dxa" w:w="2340"/>
            <w:tcBorders>
              <w:top w:val="single" w:color="00AEEF" w:sz="1"/>
              <w:left w:val="single" w:color="00AEEF" w:sz="1"/>
              <w:bottom w:val="single" w:color="00AEEF" w:sz="1"/>
              <w:right w:val="single" w:color="00AEEF" w:sz="1"/>
            </w:tcBorders>
            <w:shd w:fill="EBF4FB" w:val="clear"/>
            <w:tcMar>
              <w:top w:type="dxa" w:w="80"/>
              <w:left w:type="dxa" w:w="130"/>
              <w:bottom w:type="dxa" w:w="100"/>
              <w:right w:type="dxa" w:w="130"/>
            </w:tcMar>
          </w:tcPr>
          <w:p>
            <w:pPr>
              <w:jc w:val="center"/>
            </w:pPr>
            <w:r>
              <w:rPr>
                <w:rFonts w:ascii="Arial" w:cs="Arial" w:eastAsia="Arial" w:hAnsi="Arial"/>
                <w:b/>
                <w:bCs/>
                <w:color w:val="0A1F3D"/>
                <w:sz w:val="19"/>
                <w:szCs w:val="19"/>
              </w:rPr>
              <w:t xml:space="preserve">Estimated annual saving (10K SARs)</w:t>
            </w:r>
          </w:p>
        </w:tc>
        <w:tc>
          <w:tcPr>
            <w:tcW w:type="dxa" w:w="2340"/>
            <w:tcBorders>
              <w:top w:val="single" w:color="00AEEF" w:sz="1"/>
              <w:left w:val="single" w:color="00AEEF" w:sz="1"/>
              <w:bottom w:val="single" w:color="00AEEF" w:sz="1"/>
              <w:right w:val="single" w:color="00AEEF" w:sz="1"/>
            </w:tcBorders>
            <w:shd w:fill="EBF4FB" w:val="clear"/>
            <w:tcMar>
              <w:top w:type="dxa" w:w="80"/>
              <w:left w:type="dxa" w:w="130"/>
              <w:bottom w:type="dxa" w:w="100"/>
              <w:right w:type="dxa" w:w="130"/>
            </w:tcMar>
          </w:tcPr>
          <w:p>
            <w:pPr>
              <w:jc w:val="center"/>
            </w:pPr>
            <w:r>
              <w:rPr>
                <w:rFonts w:ascii="Arial" w:cs="Arial" w:eastAsia="Arial" w:hAnsi="Arial"/>
                <w:b/>
                <w:bCs/>
                <w:color w:val="0A1F3D"/>
                <w:sz w:val="19"/>
                <w:szCs w:val="19"/>
              </w:rPr>
              <w:t xml:space="preserve">Automated audit trail coverage</w:t>
            </w:r>
          </w:p>
        </w:tc>
        <w:tc>
          <w:tcPr>
            <w:tcW w:type="dxa" w:w="2340"/>
            <w:tcBorders>
              <w:top w:val="single" w:color="00AEEF" w:sz="1"/>
              <w:left w:val="single" w:color="00AEEF" w:sz="1"/>
              <w:bottom w:val="single" w:color="00AEEF" w:sz="1"/>
              <w:right w:val="single" w:color="00AEEF" w:sz="1"/>
            </w:tcBorders>
            <w:shd w:fill="EBF4FB" w:val="clear"/>
            <w:tcMar>
              <w:top w:type="dxa" w:w="80"/>
              <w:left w:type="dxa" w:w="130"/>
              <w:bottom w:type="dxa" w:w="100"/>
              <w:right w:type="dxa" w:w="130"/>
            </w:tcMar>
          </w:tcPr>
          <w:p>
            <w:pPr>
              <w:jc w:val="center"/>
            </w:pPr>
            <w:r>
              <w:rPr>
                <w:rFonts w:ascii="Arial" w:cs="Arial" w:eastAsia="Arial" w:hAnsi="Arial"/>
                <w:b/>
                <w:bCs/>
                <w:color w:val="0A1F3D"/>
                <w:sz w:val="19"/>
                <w:szCs w:val="19"/>
              </w:rPr>
              <w:t xml:space="preserve">PII exposure to the LLM — by design</w:t>
            </w:r>
          </w:p>
        </w:tc>
      </w:tr>
    </w:tbl>
    <w:p>
      <w:pPr>
        <w:spacing w:before="0" w:after="100"/>
      </w:pPr>
    </w:p>
    <w:p>
      <w:pPr>
        <w:spacing w:before="60" w:after="100"/>
        <w:jc w:val="both"/>
      </w:pPr>
      <w:r>
        <w:rPr>
          <w:rFonts w:ascii="Arial" w:cs="Arial" w:eastAsia="Arial" w:hAnsi="Arial"/>
          <w:color w:val="1A1A1A"/>
          <w:sz w:val="22"/>
          <w:szCs w:val="22"/>
        </w:rPr>
        <w:t xml:space="preserve">Financial institutions file hundreds of thousands of Suspicious Activity Reports annually, each demanding five to six hours of manual analyst effort to collect fragmented evidence, interpret transactional patterns, and produce a regulator-compliant narrative. The cumulative cost is measured in millions of pounds. The compliance risk from inconsistent output is material.</w:t>
      </w:r>
    </w:p>
    <w:p>
      <w:pPr>
        <w:spacing w:before="60" w:after="100"/>
        <w:jc w:val="both"/>
      </w:pPr>
      <w:r>
        <w:rPr>
          <w:rFonts w:ascii="Arial" w:cs="Arial" w:eastAsia="Arial" w:hAnsi="Arial"/>
          <w:color w:val="1A1A1A"/>
          <w:sz w:val="22"/>
          <w:szCs w:val="22"/>
        </w:rPr>
        <w:t xml:space="preserve">The SAR Narrative Generator eliminates this burden through a purpose-built hybrid pipeline: a deterministic AML rule engine makes the compliance decision; a Retrieval-Augmented Generation layer grounds the output in approved regulatory precedents; a constrained LLM converts structured evidence into regulator-aligned prose. Critically, raw transaction data and PII never reach the AI model — this boundary is enforced architecturally, not by policy. Every sentence is traceable to a specific rule trigger. Every case generates a regulator-replayable audit record. Every submission requires mandatory human analyst approval.</w:t>
      </w:r>
    </w:p>
    <w:p>
      <w:pPr>
        <w:spacing w:before="60" w:after="100"/>
        <w:jc w:val="both"/>
      </w:pPr>
      <w:r>
        <w:rPr>
          <w:rFonts w:ascii="Arial" w:cs="Arial" w:eastAsia="Arial" w:hAnsi="Arial"/>
          <w:color w:val="1A1A1A"/>
          <w:sz w:val="22"/>
          <w:szCs w:val="22"/>
        </w:rPr>
        <w:t xml:space="preserve">The result is a system that drafts compliant SARs in under ninety minutes, produces consistent regulatory-quality narratives across all analysts, and generates the complete evidentiary audit trail that regulators increasingly demand — at enterprise scale, with deployable security controls.</w:t>
      </w:r>
    </w:p>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2. Problem &amp; Industry Impact</w:t>
      </w:r>
    </w:p>
    <w:p>
      <w:pPr>
        <w:spacing w:before="60" w:after="100"/>
        <w:jc w:val="both"/>
      </w:pPr>
      <w:r>
        <w:rPr>
          <w:rFonts w:ascii="Arial" w:cs="Arial" w:eastAsia="Arial" w:hAnsi="Arial"/>
          <w:color w:val="1A1A1A"/>
          <w:sz w:val="22"/>
          <w:szCs w:val="22"/>
        </w:rPr>
        <w:t xml:space="preserve">The UK's National Crime Agency received over 900,000 SAR submissions in 2022–23. Each represents a compliance analyst manually aggregating evidence across four to six siloed systems, interpreting transactional patterns, and producing a structured narrative under time pressure. The operational cost is unsustainable. The quality variance is a regulatory liability.</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Industry Pain Point</w:t>
            </w:r>
          </w:p>
        </w:tc>
        <w:tc>
          <w:tcPr>
            <w:tcW w:type="dxa" w:w="65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Regulatory &amp; Business Consequence</w:t>
            </w:r>
          </w:p>
        </w:tc>
      </w:tr>
      <w:tr>
        <w:tc>
          <w:tcPr>
            <w:tcW w:type="dxa" w:w="2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5–6 analyst hours per SAR</w:t>
            </w:r>
          </w:p>
        </w:tc>
        <w:tc>
          <w:tcPr>
            <w:tcW w:type="dxa" w:w="6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Investigation backlogs during high-alert periods; analyst fatigue and attrition</w:t>
            </w:r>
          </w:p>
        </w:tc>
      </w:tr>
      <w:tr>
        <w:tc>
          <w:tcPr>
            <w:tcW w:type="dxa" w:w="28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Narrative inconsistency</w:t>
            </w:r>
          </w:p>
        </w:tc>
        <w:tc>
          <w:tcPr>
            <w:tcW w:type="dxa" w:w="65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Quality variance by analyst skill; inconsistent SARs invite regulatory scrutiny</w:t>
            </w:r>
          </w:p>
        </w:tc>
      </w:tr>
      <w:tr>
        <w:tc>
          <w:tcPr>
            <w:tcW w:type="dxa" w:w="2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Fragmented evidence access</w:t>
            </w:r>
          </w:p>
        </w:tc>
        <w:tc>
          <w:tcPr>
            <w:tcW w:type="dxa" w:w="6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4–6 disconnected systems; incomplete evidence leads to narrative gaps and resubmission cost</w:t>
            </w:r>
          </w:p>
        </w:tc>
      </w:tr>
      <w:tr>
        <w:tc>
          <w:tcPr>
            <w:tcW w:type="dxa" w:w="28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No structured audit trail</w:t>
            </w:r>
          </w:p>
        </w:tc>
        <w:tc>
          <w:tcPr>
            <w:tcW w:type="dxa" w:w="65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Cannot demonstrate reasoning provenance; elevated enforcement risk during regulatory examination</w:t>
            </w:r>
          </w:p>
        </w:tc>
      </w:tr>
      <w:tr>
        <w:tc>
          <w:tcPr>
            <w:tcW w:type="dxa" w:w="2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Generic AI tools unsuitable</w:t>
            </w:r>
          </w:p>
        </w:tc>
        <w:tc>
          <w:tcPr>
            <w:tcW w:type="dxa" w:w="6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Hallucination risk, PII exposure, no audit trail, no regulatory schema compliance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4E8A" w:sz="1"/>
              <w:left w:val="single" w:color="1A4E8A" w:sz="1"/>
              <w:bottom w:val="single" w:color="1A4E8A" w:sz="1"/>
              <w:right w:val="single" w:color="1A4E8A" w:sz="1"/>
            </w:tcBorders>
            <w:shd w:fill="1A4E8A"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MARKET GAP</w:t>
            </w:r>
          </w:p>
        </w:tc>
        <w:tc>
          <w:tcPr>
            <w:tcW w:type="dxa" w:w="8160"/>
            <w:tcBorders>
              <w:top w:val="single" w:color="1A4E8A" w:sz="1"/>
              <w:left w:val="single" w:color="1A4E8A" w:sz="1"/>
              <w:bottom w:val="single" w:color="1A4E8A" w:sz="1"/>
              <w:right w:val="single" w:color="1A4E8A" w:sz="1"/>
            </w:tcBorders>
            <w:shd w:fill="EBF4FB" w:val="clear"/>
            <w:tcMar>
              <w:top w:type="dxa" w:w="90"/>
              <w:left w:type="dxa" w:w="160"/>
              <w:bottom w:type="dxa" w:w="90"/>
              <w:right w:type="dxa" w:w="160"/>
            </w:tcMar>
          </w:tcPr>
          <w:p>
            <w:r>
              <w:rPr>
                <w:rFonts w:ascii="Arial" w:cs="Arial" w:eastAsia="Arial" w:hAnsi="Arial"/>
                <w:i/>
                <w:iCs/>
                <w:color w:val="0A1F3D"/>
                <w:sz w:val="20"/>
                <w:szCs w:val="20"/>
              </w:rPr>
              <w:t xml:space="preserve">The industry needs a system that automates evidence assembly, applies deterministic compliance logic, generates schema-enforced narratives from verified data only, and produces a complete regulator-replayable audit trail — within a mandatory human governance framework.</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3. Solution Overview</w:t>
      </w:r>
    </w:p>
    <w:p>
      <w:pPr>
        <w:spacing w:before="60" w:after="100"/>
        <w:jc w:val="both"/>
      </w:pPr>
      <w:r>
        <w:rPr>
          <w:rFonts w:ascii="Arial" w:cs="Arial" w:eastAsia="Arial" w:hAnsi="Arial"/>
          <w:color w:val="1A1A1A"/>
          <w:sz w:val="22"/>
          <w:szCs w:val="22"/>
        </w:rPr>
        <w:t xml:space="preserve">The SAR Narrative Generator is an AI-assisted compliance platform that transforms SAR drafting from a five-hour manual process into a supervised thirty-minute workflow. It is built on three non-negotiable design principles:</w:t>
      </w:r>
    </w:p>
    <w:p>
      <w:pPr>
        <w:pStyle w:val="ListParagraph"/>
        <w:numPr>
          <w:ilvl w:val="0"/>
          <w:numId w:val="2"/>
        </w:numPr>
        <w:spacing w:before="30" w:after="50"/>
      </w:pPr>
      <w:r>
        <w:rPr>
          <w:rFonts w:ascii="Arial" w:cs="Arial" w:eastAsia="Arial" w:hAnsi="Arial"/>
          <w:color w:val="1A1A1A"/>
          <w:sz w:val="22"/>
          <w:szCs w:val="22"/>
        </w:rPr>
        <w:t xml:space="preserve">Separation of decision logic from narrative generation: compliance decisions are made deterministically; the LLM only composes prose from pre-validated evidence.</w:t>
      </w:r>
    </w:p>
    <w:p>
      <w:pPr>
        <w:pStyle w:val="ListParagraph"/>
        <w:numPr>
          <w:ilvl w:val="0"/>
          <w:numId w:val="2"/>
        </w:numPr>
        <w:spacing w:before="30" w:after="50"/>
      </w:pPr>
      <w:r>
        <w:rPr>
          <w:rFonts w:ascii="Arial" w:cs="Arial" w:eastAsia="Arial" w:hAnsi="Arial"/>
          <w:color w:val="1A1A1A"/>
          <w:sz w:val="22"/>
          <w:szCs w:val="22"/>
        </w:rPr>
        <w:t xml:space="preserve">Evidence-bounded generation: the LLM operates within a closed, sanitised information space — it cannot speculate beyond what the rule engine has verified.</w:t>
      </w:r>
    </w:p>
    <w:p>
      <w:pPr>
        <w:pStyle w:val="ListParagraph"/>
        <w:numPr>
          <w:ilvl w:val="0"/>
          <w:numId w:val="2"/>
        </w:numPr>
        <w:spacing w:before="30" w:after="50"/>
      </w:pPr>
      <w:r>
        <w:rPr>
          <w:rFonts w:ascii="Arial" w:cs="Arial" w:eastAsia="Arial" w:hAnsi="Arial"/>
          <w:color w:val="1A1A1A"/>
          <w:sz w:val="22"/>
          <w:szCs w:val="22"/>
        </w:rPr>
        <w:t xml:space="preserve">Complete, regulator-replayable auditability: every component action, model configuration, and analyst decision is logged immutably and reproducible on demand.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System Pillar</w:t>
            </w:r>
          </w:p>
        </w:tc>
        <w:tc>
          <w:tcPr>
            <w:tcW w:type="dxa" w:w="38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What It Does</w:t>
            </w:r>
          </w:p>
        </w:tc>
        <w:tc>
          <w:tcPr>
            <w:tcW w:type="dxa" w:w="33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Why It Matters</w:t>
            </w:r>
          </w:p>
        </w:tc>
      </w:tr>
      <w:tr>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Deterministic Rule Engine</w:t>
            </w:r>
          </w:p>
        </w:tc>
        <w:tc>
          <w:tcPr>
            <w:tcW w:type="dxa" w:w="3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YAML-defined AML rules evaluate transaction patterns and generate structured evidence blocks</w:t>
            </w:r>
          </w:p>
        </w:tc>
        <w:tc>
          <w:tcPr>
            <w:tcW w:type="dxa" w:w="3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Compliance decisions are fully reproducible, auditable, and jurisdiction-configurable</w:t>
            </w:r>
          </w:p>
        </w:tc>
      </w:tr>
      <w:tr>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Evidence Pack Builder</w:t>
            </w:r>
          </w:p>
        </w:tc>
        <w:tc>
          <w:tcPr>
            <w:tcW w:type="dxa" w:w="38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Strips PII and raw data; passes only anonymised evidence summaries to the LLM</w:t>
            </w:r>
          </w:p>
        </w:tc>
        <w:tc>
          <w:tcPr>
            <w:tcW w:type="dxa" w:w="33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Architectural guarantee: zero PII reaches the AI layer — not configurable, not bypassable</w:t>
            </w:r>
          </w:p>
        </w:tc>
      </w:tr>
      <w:tr>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RAG Retrieval</w:t>
            </w:r>
          </w:p>
        </w:tc>
        <w:tc>
          <w:tcPr>
            <w:tcW w:type="dxa" w:w="3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Retrieves top-5 semantically similar approved SARs and regulatory guidance from ChromaDB</w:t>
            </w:r>
          </w:p>
        </w:tc>
        <w:tc>
          <w:tcPr>
            <w:tcW w:type="dxa" w:w="3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Grounds LLM output in institutional precedent; eliminates typological drift</w:t>
            </w:r>
          </w:p>
        </w:tc>
      </w:tr>
      <w:tr>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LLM Engine (Llama 3.1)</w:t>
            </w:r>
          </w:p>
        </w:tc>
        <w:tc>
          <w:tcPr>
            <w:tcW w:type="dxa" w:w="38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Generates structured JSON narrative across schema-enforced regulatory fields at temp 0.3</w:t>
            </w:r>
          </w:p>
        </w:tc>
        <w:tc>
          <w:tcPr>
            <w:tcW w:type="dxa" w:w="33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Controlled, evidence-constrained generation with post-generation validation gate</w:t>
            </w:r>
          </w:p>
        </w:tc>
      </w:tr>
      <w:tr>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Audit Trail</w:t>
            </w:r>
          </w:p>
        </w:tc>
        <w:tc>
          <w:tcPr>
            <w:tcW w:type="dxa" w:w="3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Immutable PostgreSQL record of every rule, evidence block, prompt version, model config, and analyst action</w:t>
            </w:r>
          </w:p>
        </w:tc>
        <w:tc>
          <w:tcPr>
            <w:tcW w:type="dxa" w:w="3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Full replay capability for SR 11-7 / CP 6/22 model governance and regulatory examination</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4. Core Innovation</w:t>
      </w:r>
    </w:p>
    <w:p>
      <w:pPr>
        <w:pStyle w:val="Heading2"/>
        <w:spacing w:before="280" w:after="100"/>
      </w:pPr>
      <w:r>
        <w:rPr>
          <w:rFonts w:ascii="Arial" w:cs="Arial" w:eastAsia="Arial" w:hAnsi="Arial"/>
          <w:b/>
          <w:bCs/>
          <w:color w:val="1A4E8A"/>
          <w:sz w:val="26"/>
          <w:szCs w:val="26"/>
        </w:rPr>
        <w:t xml:space="preserve">4.1  The Hybrid Architecture — Why Three Layers, Not One</w:t>
      </w:r>
    </w:p>
    <w:p>
      <w:pPr>
        <w:spacing w:before="60" w:after="100"/>
        <w:jc w:val="both"/>
      </w:pPr>
      <w:r>
        <w:rPr>
          <w:rFonts w:ascii="Arial" w:cs="Arial" w:eastAsia="Arial" w:hAnsi="Arial"/>
          <w:color w:val="1A1A1A"/>
          <w:sz w:val="22"/>
          <w:szCs w:val="22"/>
        </w:rPr>
        <w:t xml:space="preserve">The fundamental innovation is not the use of an LLM — it is the precise, enforced separation of three layers that each address the failure modes of the others: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Layer</w:t>
            </w:r>
          </w:p>
        </w:tc>
        <w:tc>
          <w:tcPr>
            <w:tcW w:type="dxa" w:w="33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Unique Capability</w:t>
            </w:r>
          </w:p>
        </w:tc>
        <w:tc>
          <w:tcPr>
            <w:tcW w:type="dxa" w:w="36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Why It Cannot Work Alone</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Deterministic Rule Engine</w:t>
            </w:r>
          </w:p>
        </w:tc>
        <w:tc>
          <w:tcPr>
            <w:tcW w:type="dxa" w:w="3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Makes exact, reproducible compliance decisions from versioned AML logic</w:t>
            </w:r>
          </w:p>
        </w:tc>
        <w:tc>
          <w:tcPr>
            <w:tcW w:type="dxa" w:w="3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Produces structured flags — not human-readable narrative. Cannot synthesise prose.</w:t>
            </w:r>
          </w:p>
        </w:tc>
      </w:tr>
      <w:tr>
        <w:tc>
          <w:tcPr>
            <w:tcW w:type="dxa" w:w="2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RAG Retrieval (ChromaDB)</w:t>
            </w:r>
          </w:p>
        </w:tc>
        <w:tc>
          <w:tcPr>
            <w:tcW w:type="dxa" w:w="33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Grounds generation in approved regulatory precedents and typology examples</w:t>
            </w:r>
          </w:p>
        </w:tc>
        <w:tc>
          <w:tcPr>
            <w:tcW w:type="dxa" w:w="3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Cannot evaluate raw transaction data or make case-specific compliance determinations</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LLM (Llama 3.1, temp 0.3)</w:t>
            </w:r>
          </w:p>
        </w:tc>
        <w:tc>
          <w:tcPr>
            <w:tcW w:type="dxa" w:w="3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Converts structured evidence into fluent, regulator-aligned prose</w:t>
            </w:r>
          </w:p>
        </w:tc>
        <w:tc>
          <w:tcPr>
            <w:tcW w:type="dxa" w:w="3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Without grounding, hallucinates facts; cannot make compliance determinations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4E8A" w:sz="1"/>
              <w:left w:val="single" w:color="1A4E8A" w:sz="1"/>
              <w:bottom w:val="single" w:color="1A4E8A" w:sz="1"/>
              <w:right w:val="single" w:color="1A4E8A" w:sz="1"/>
            </w:tcBorders>
            <w:shd w:fill="1A4E8A"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INNOVATION CORE</w:t>
            </w:r>
          </w:p>
        </w:tc>
        <w:tc>
          <w:tcPr>
            <w:tcW w:type="dxa" w:w="8160"/>
            <w:tcBorders>
              <w:top w:val="single" w:color="1A4E8A" w:sz="1"/>
              <w:left w:val="single" w:color="1A4E8A" w:sz="1"/>
              <w:bottom w:val="single" w:color="1A4E8A" w:sz="1"/>
              <w:right w:val="single" w:color="1A4E8A" w:sz="1"/>
            </w:tcBorders>
            <w:shd w:fill="EBF4FB" w:val="clear"/>
            <w:tcMar>
              <w:top w:type="dxa" w:w="90"/>
              <w:left w:type="dxa" w:w="160"/>
              <w:bottom w:type="dxa" w:w="90"/>
              <w:right w:type="dxa" w:w="160"/>
            </w:tcMar>
          </w:tcPr>
          <w:p>
            <w:r>
              <w:rPr>
                <w:rFonts w:ascii="Arial" w:cs="Arial" w:eastAsia="Arial" w:hAnsi="Arial"/>
                <w:i/>
                <w:iCs/>
                <w:color w:val="0A1F3D"/>
                <w:sz w:val="20"/>
                <w:szCs w:val="20"/>
              </w:rPr>
              <w:t xml:space="preserve">The rule engine's determinism eliminates the LLM's greatest weakness — factual invention. The RAG layer eliminates its second weakness — typological drift. The LLM eliminates the rule engine's only limitation — inability to produce readable prose. Combined, they achieve what no single technology can deliver alone.</w:t>
            </w:r>
          </w:p>
        </w:tc>
      </w:tr>
    </w:tbl>
    <w:p>
      <w:pPr>
        <w:spacing w:before="0" w:after="100"/>
      </w:pPr>
    </w:p>
    <w:p>
      <w:pPr>
        <w:pStyle w:val="Heading2"/>
        <w:spacing w:before="280" w:after="100"/>
      </w:pPr>
      <w:r>
        <w:rPr>
          <w:rFonts w:ascii="Arial" w:cs="Arial" w:eastAsia="Arial" w:hAnsi="Arial"/>
          <w:b/>
          <w:bCs/>
          <w:color w:val="1A4E8A"/>
          <w:sz w:val="26"/>
          <w:szCs w:val="26"/>
        </w:rPr>
        <w:t xml:space="preserve">4.2  PII Isolation Architecture</w:t>
      </w:r>
    </w:p>
    <w:p>
      <w:pPr>
        <w:spacing w:before="60" w:after="100"/>
        <w:jc w:val="both"/>
      </w:pPr>
      <w:r>
        <w:rPr>
          <w:rFonts w:ascii="Arial" w:cs="Arial" w:eastAsia="Arial" w:hAnsi="Arial"/>
          <w:color w:val="1A1A1A"/>
          <w:sz w:val="22"/>
          <w:szCs w:val="22"/>
        </w:rPr>
        <w:t xml:space="preserve">The Evidence Pack Builder enforces a one-way, lossy transformation between the Decision Layer and the Narrative Layer. This is not a filter or a configuration setting — it is an architectural boundary. The LLM never receives account numbers, customer identifiers, raw transaction lists, or any PII. It receives only an anonymised evidence pack: pattern summaries, confidence-scored indicators, and retrieved regulatory excerpts. This boundary is the primary hallucination control mechanism. The LLM cannot invent figures it was not given.</w:t>
      </w:r>
    </w:p>
    <w:p>
      <w:pPr>
        <w:spacing w:before="0" w:after="100"/>
      </w:pPr>
    </w:p>
    <w:p>
      <w:pPr>
        <w:pStyle w:val="Heading2"/>
        <w:spacing w:before="280" w:after="100"/>
      </w:pPr>
      <w:r>
        <w:rPr>
          <w:rFonts w:ascii="Arial" w:cs="Arial" w:eastAsia="Arial" w:hAnsi="Arial"/>
          <w:b/>
          <w:bCs/>
          <w:color w:val="1A4E8A"/>
          <w:sz w:val="26"/>
          <w:szCs w:val="26"/>
        </w:rPr>
        <w:t xml:space="preserve">4.3  Sentence-Level Audit Traceability</w:t>
      </w:r>
    </w:p>
    <w:p>
      <w:pPr>
        <w:spacing w:before="60" w:after="100"/>
        <w:jc w:val="both"/>
      </w:pPr>
      <w:r>
        <w:rPr>
          <w:rFonts w:ascii="Arial" w:cs="Arial" w:eastAsia="Arial" w:hAnsi="Arial"/>
          <w:color w:val="1A1A1A"/>
          <w:sz w:val="22"/>
          <w:szCs w:val="22"/>
        </w:rPr>
        <w:t xml:space="preserve">Every sentence in the generated narrative is linked to the specific evidence elements that informed it — rule triggers, transaction indicators, and retrieved precedent excerpts. These links are surfaced in the analyst review interface and stored in the immutable audit log. Each sentence receives an automated explainability score; low-scoring sentences are flagged and cannot be submitted without explicit analyst acknowledgement.</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1"/>
              <w:left w:val="single" w:color="2C5282" w:sz="1"/>
              <w:bottom w:val="single" w:color="2C5282" w:sz="1"/>
              <w:right w:val="single" w:color="2C5282" w:sz="1"/>
            </w:tcBorders>
            <w:shd w:fill="0D1B2A" w:val="clear"/>
            <w:tcMar>
              <w:top w:type="dxa" w:w="120"/>
              <w:left w:type="dxa" w:w="200"/>
              <w:bottom w:type="dxa" w:w="120"/>
              <w:right w:type="dxa" w:w="200"/>
            </w:tcMar>
          </w:tcPr>
          <w:p>
            <w:pPr>
              <w:spacing w:before="0" w:after="0"/>
            </w:pPr>
            <w:r>
              <w:rPr>
                <w:rFonts w:ascii="Courier New" w:cs="Courier New" w:eastAsia="Courier New" w:hAnsi="Courier New"/>
                <w:color w:val="A8D8F0"/>
                <w:sz w:val="17"/>
                <w:szCs w:val="17"/>
              </w:rPr>
              <w:t xml:space="preserve">  SENTENCE-LEVEL TRACEABILITY EXAMPLE</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Sentence: "The subject executed 47 transfers totalling ₹50,00,000 within 7 days."</w:t>
            </w:r>
          </w:p>
          <w:p>
            <w:pPr>
              <w:spacing w:before="0" w:after="0"/>
            </w:pPr>
            <w:r>
              <w:rPr>
                <w:rFonts w:ascii="Courier New" w:cs="Courier New" w:eastAsia="Courier New" w:hAnsi="Courier New"/>
                <w:color w:val="A8D8F0"/>
                <w:sz w:val="17"/>
                <w:szCs w:val="17"/>
              </w:rPr>
              <w:t xml:space="preserve">  ┌─ Evidence Links ───────────────────────────────────────────────────────</w:t>
            </w:r>
          </w:p>
          <w:p>
            <w:pPr>
              <w:spacing w:before="0" w:after="0"/>
            </w:pPr>
            <w:r>
              <w:rPr>
                <w:rFonts w:ascii="Courier New" w:cs="Courier New" w:eastAsia="Courier New" w:hAnsi="Courier New"/>
                <w:color w:val="A8D8F0"/>
                <w:sz w:val="17"/>
                <w:szCs w:val="17"/>
              </w:rPr>
              <w:t xml:space="preserve">  │  Rule:      AML-001 [Structuring] — confidence 0.82 — evidence §1–3</w:t>
            </w:r>
          </w:p>
          <w:p>
            <w:pPr>
              <w:spacing w:before="0" w:after="0"/>
            </w:pPr>
            <w:r>
              <w:rPr>
                <w:rFonts w:ascii="Courier New" w:cs="Courier New" w:eastAsia="Courier New" w:hAnsi="Courier New"/>
                <w:color w:val="A8D8F0"/>
                <w:sz w:val="17"/>
                <w:szCs w:val="17"/>
              </w:rPr>
              <w:t xml:space="preserve">  │  Txns:      TXN-4582 through TXN-4628 (aggregated in enrichment layer)</w:t>
            </w:r>
          </w:p>
          <w:p>
            <w:pPr>
              <w:spacing w:before="0" w:after="0"/>
            </w:pPr>
            <w:r>
              <w:rPr>
                <w:rFonts w:ascii="Courier New" w:cs="Courier New" w:eastAsia="Courier New" w:hAnsi="Courier New"/>
                <w:color w:val="A8D8F0"/>
                <w:sz w:val="17"/>
                <w:szCs w:val="17"/>
              </w:rPr>
              <w:t xml:space="preserve">  │  Typology:  SAR-REF-0447 [Layering — Cross-Border Aggregation]</w:t>
            </w:r>
          </w:p>
          <w:p>
            <w:pPr>
              <w:spacing w:before="0" w:after="0"/>
            </w:pPr>
            <w:r>
              <w:rPr>
                <w:rFonts w:ascii="Courier New" w:cs="Courier New" w:eastAsia="Courier New" w:hAnsi="Courier New"/>
                <w:color w:val="A8D8F0"/>
                <w:sz w:val="17"/>
                <w:szCs w:val="17"/>
              </w:rPr>
              <w:t xml:space="preserve">  │  Score:     Explainability 0.94 — PASS</w:t>
            </w:r>
          </w:p>
          <w:p>
            <w:pPr>
              <w:spacing w:before="0" w:after="0"/>
            </w:pPr>
            <w:r>
              <w:rPr>
                <w:rFonts w:ascii="Courier New" w:cs="Courier New" w:eastAsia="Courier New" w:hAnsi="Courier New"/>
                <w:color w:val="A8D8F0"/>
                <w:sz w:val="17"/>
                <w:szCs w:val="17"/>
              </w:rPr>
              <w:t xml:space="preserve">  └────────────────────────────────────────────────────────────────────────</w:t>
            </w:r>
          </w:p>
        </w:tc>
      </w:tr>
    </w:tbl>
    <w:p>
      <w:pPr>
        <w:spacing w:before="0" w:after="100"/>
      </w:pPr>
    </w:p>
    <w:p>
      <w:pPr>
        <w:pStyle w:val="Heading2"/>
        <w:spacing w:before="280" w:after="100"/>
      </w:pPr>
      <w:r>
        <w:rPr>
          <w:rFonts w:ascii="Arial" w:cs="Arial" w:eastAsia="Arial" w:hAnsi="Arial"/>
          <w:b/>
          <w:bCs/>
          <w:color w:val="1A4E8A"/>
          <w:sz w:val="26"/>
          <w:szCs w:val="26"/>
        </w:rPr>
        <w:t xml:space="preserve">4.4  Regulator-Replayable Audit Trail</w:t>
      </w:r>
    </w:p>
    <w:p>
      <w:pPr>
        <w:spacing w:before="60" w:after="100"/>
        <w:jc w:val="both"/>
      </w:pPr>
      <w:r>
        <w:rPr>
          <w:rFonts w:ascii="Arial" w:cs="Arial" w:eastAsia="Arial" w:hAnsi="Arial"/>
          <w:color w:val="1A1A1A"/>
          <w:sz w:val="22"/>
          <w:szCs w:val="22"/>
        </w:rPr>
        <w:t xml:space="preserve">Any filed SAR can be fully replayed on demand. The system stores: the sealed evidence pack, the exact Jinja2 prompt template version (SHA-pinned), the model name and inference parameters, and the ChromaDB corpus snapshot ID. Given a case ID, the orchestrator restores this state exactly and regenerates the draft deterministically. Replay output is automatically compared to the original; any divergence triggers a model risk alert. This satisfies SR 11-7, CP 6/22, and FCA model governance expectations for AI systems in financial services.</w:t>
      </w:r>
    </w:p>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5. System Architecture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3D" w:sz="1"/>
              <w:left w:val="single" w:color="0A1F3D" w:sz="1"/>
              <w:bottom w:val="single" w:color="0A1F3D" w:sz="1"/>
              <w:right w:val="single" w:color="0A1F3D" w:sz="1"/>
            </w:tcBorders>
            <w:shd w:fill="0A1F3D" w:val="clear"/>
            <w:tcMar>
              <w:top w:type="dxa" w:w="70"/>
              <w:left w:type="dxa" w:w="200"/>
              <w:bottom w:type="dxa" w:w="70"/>
              <w:right w:type="dxa" w:w="200"/>
            </w:tcMar>
          </w:tcPr>
          <w:p>
            <w:pPr>
              <w:jc w:val="center"/>
            </w:pPr>
            <w:r>
              <w:rPr>
                <w:rFonts w:ascii="Arial" w:cs="Arial" w:eastAsia="Arial" w:hAnsi="Arial"/>
                <w:b/>
                <w:bCs/>
                <w:color w:val="00AEEF"/>
                <w:sz w:val="19"/>
                <w:szCs w:val="19"/>
              </w:rPr>
              <w:t xml:space="preserve">DIAGRAM 1 — HIGH-LEVEL SYSTEM ARCHITECTURE</w:t>
            </w:r>
          </w:p>
        </w:tc>
      </w:tr>
      <w:tr>
        <w:tc>
          <w:tcPr>
            <w:tcW w:type="dxa" w:w="9360"/>
            <w:tcBorders>
              <w:top w:val="single" w:color="0A1F3D" w:sz="1"/>
              <w:left w:val="single" w:color="0A1F3D" w:sz="1"/>
              <w:bottom w:val="single" w:color="0A1F3D" w:sz="1"/>
              <w:right w:val="single" w:color="0A1F3D" w:sz="1"/>
            </w:tcBorders>
            <w:shd w:fill="1A4E8A" w:val="clear"/>
            <w:tcMar>
              <w:top w:type="dxa" w:w="40"/>
              <w:left w:type="dxa" w:w="200"/>
              <w:bottom w:type="dxa" w:w="40"/>
              <w:right w:type="dxa" w:w="200"/>
            </w:tcMar>
          </w:tcPr>
          <w:p>
            <w:pPr>
              <w:jc w:val="center"/>
            </w:pPr>
            <w:r>
              <w:rPr>
                <w:rFonts w:ascii="Arial" w:cs="Arial" w:eastAsia="Arial" w:hAnsi="Arial"/>
                <w:i/>
                <w:iCs/>
                <w:color w:val="C8DCF0"/>
                <w:sz w:val="17"/>
                <w:szCs w:val="17"/>
              </w:rPr>
              <w:t xml:space="preserve">End-to-end system from data sources through intelligence layers to analyst UI and regulatory export</w:t>
            </w:r>
          </w:p>
        </w:tc>
      </w:tr>
      <w:tr>
        <w:tc>
          <w:tcPr>
            <w:tcW w:type="dxa" w:w="9360"/>
            <w:tcBorders>
              <w:top w:val="single" w:color="0A1F3D" w:sz="1"/>
              <w:left w:val="single" w:color="0A1F3D" w:sz="1"/>
              <w:bottom w:val="single" w:color="0A1F3D" w:sz="1"/>
              <w:right w:val="single" w:color="0A1F3D" w:sz="1"/>
            </w:tcBorders>
            <w:shd w:fill="0D1B2A" w:val="clear"/>
            <w:tcMar>
              <w:top w:type="dxa" w:w="120"/>
              <w:left w:type="dxa" w:w="180"/>
              <w:bottom w:type="dxa" w:w="120"/>
              <w:right w:type="dxa" w:w="180"/>
            </w:tcMar>
          </w:tcPr>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EXTERNAL DATA SOURCES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  TXN Mon.   │  │ Core Banking │  │  KYC/CDD  │  │  Case Mgmt Sys  │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Alert + enrichment data                  Export target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INGESTION LAYER  (FastAPI / Kafka)              │    │              </w:t>
            </w:r>
          </w:p>
          <w:p>
            <w:pPr>
              <w:spacing w:before="0" w:after="0"/>
            </w:pPr>
            <w:r>
              <w:rPr>
                <w:rFonts w:ascii="Courier New" w:cs="Courier New" w:eastAsia="Courier New" w:hAnsi="Courier New"/>
                <w:color w:val="A8D8F0"/>
                <w:sz w:val="17"/>
                <w:szCs w:val="17"/>
              </w:rPr>
              <w:t xml:space="preserve">  │   Validate → Assign Case ID → Enqueue to Orchestrator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CASE ORCHESTRATOR  (State Machine + Redis)         │    │              </w:t>
            </w:r>
          </w:p>
          <w:p>
            <w:pPr>
              <w:spacing w:before="0" w:after="0"/>
            </w:pPr>
            <w:r>
              <w:rPr>
                <w:rFonts w:ascii="Courier New" w:cs="Courier New" w:eastAsia="Courier New" w:hAnsi="Courier New"/>
                <w:color w:val="A8D8F0"/>
                <w:sz w:val="17"/>
                <w:szCs w:val="17"/>
              </w:rPr>
              <w:t xml:space="preserve">  │  INGESTED→ENRICHED→RULE_TRIGGERED→EVIDENCE_BUILT→        │    │              </w:t>
            </w:r>
          </w:p>
          <w:p>
            <w:pPr>
              <w:spacing w:before="0" w:after="0"/>
            </w:pPr>
            <w:r>
              <w:rPr>
                <w:rFonts w:ascii="Courier New" w:cs="Courier New" w:eastAsia="Courier New" w:hAnsi="Courier New"/>
                <w:color w:val="A8D8F0"/>
                <w:sz w:val="17"/>
                <w:szCs w:val="17"/>
              </w:rPr>
              <w:t xml:space="preserve">  │  RETRIEVAL_COMPLETE→DRAFT_GENERATED→VALIDATED→APPROVED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Enri- │ │  AML   │ │Evid.  │ │  RAG  │ │   LLM Engine     │ │              </w:t>
            </w:r>
          </w:p>
          <w:p>
            <w:pPr>
              <w:spacing w:before="0" w:after="0"/>
            </w:pPr>
            <w:r>
              <w:rPr>
                <w:rFonts w:ascii="Courier New" w:cs="Courier New" w:eastAsia="Courier New" w:hAnsi="Courier New"/>
                <w:color w:val="A8D8F0"/>
                <w:sz w:val="17"/>
                <w:szCs w:val="17"/>
              </w:rPr>
              <w:t xml:space="preserve">  │ chmt  │ │ Rules  │ │ Pack  │ │ Ret.  │ │   Llama 3.1      │ │              </w:t>
            </w:r>
          </w:p>
          <w:p>
            <w:pPr>
              <w:spacing w:before="0" w:after="0"/>
            </w:pPr>
            <w:r>
              <w:rPr>
                <w:rFonts w:ascii="Courier New" w:cs="Courier New" w:eastAsia="Courier New" w:hAnsi="Courier New"/>
                <w:color w:val="A8D8F0"/>
                <w:sz w:val="17"/>
                <w:szCs w:val="17"/>
              </w:rPr>
              <w:t xml:space="preserve">  │ Layer │ │ (YAML) │ │Builder│ │ChromDB│ │   temp=0.3       │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Decision│          │Narrative │             │             │              </w:t>
            </w:r>
          </w:p>
          <w:p>
            <w:pPr>
              <w:spacing w:before="0" w:after="0"/>
            </w:pPr>
            <w:r>
              <w:rPr>
                <w:rFonts w:ascii="Courier New" w:cs="Courier New" w:eastAsia="Courier New" w:hAnsi="Courier New"/>
                <w:color w:val="A8D8F0"/>
                <w:sz w:val="17"/>
                <w:szCs w:val="17"/>
              </w:rPr>
              <w:t xml:space="preserve">      │ Dataset │          │ Dataset  │             │             │              </w:t>
            </w:r>
          </w:p>
          <w:p>
            <w:pPr>
              <w:spacing w:before="0" w:after="0"/>
            </w:pPr>
            <w:r>
              <w:rPr>
                <w:rFonts w:ascii="Courier New" w:cs="Courier New" w:eastAsia="Courier New" w:hAnsi="Courier New"/>
                <w:color w:val="A8D8F0"/>
                <w:sz w:val="17"/>
                <w:szCs w:val="17"/>
              </w:rPr>
              <w:t xml:space="preserve">      │ [SEALED]│          │[No PII]  │             │             │              </w:t>
            </w:r>
          </w:p>
          <w:p>
            <w:pPr>
              <w:spacing w:before="0" w:after="0"/>
            </w:pPr>
            <w:r>
              <w:rPr>
                <w:rFonts w:ascii="Courier New" w:cs="Courier New" w:eastAsia="Courier New" w:hAnsi="Courier New"/>
                <w:color w:val="A8D8F0"/>
                <w:sz w:val="17"/>
                <w:szCs w:val="17"/>
              </w:rPr>
              <w:t xml:space="preserve">      └─────────┘          └──────────┘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VALIDATION ENGINE  (8-Check Gate)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ANALYST REVIEW INTERFACE  (React + FastAPI + JWT)      │     │              </w:t>
            </w:r>
          </w:p>
          <w:p>
            <w:pPr>
              <w:spacing w:before="0" w:after="0"/>
            </w:pPr>
            <w:r>
              <w:rPr>
                <w:rFonts w:ascii="Courier New" w:cs="Courier New" w:eastAsia="Courier New" w:hAnsi="Courier New"/>
                <w:color w:val="A8D8F0"/>
                <w:sz w:val="17"/>
                <w:szCs w:val="17"/>
              </w:rPr>
              <w:t xml:space="preserve">  │   Dashboard → Evidence Panel → Draft Editor → Approve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AUDIT LOG  (PostgreSQL JSONB — immutable, encrypted)   │                    </w:t>
            </w:r>
          </w:p>
          <w:p>
            <w:pPr>
              <w:spacing w:before="0" w:after="0"/>
            </w:pPr>
            <w:r>
              <w:rPr>
                <w:rFonts w:ascii="Courier New" w:cs="Courier New" w:eastAsia="Courier New" w:hAnsi="Courier New"/>
                <w:color w:val="A8D8F0"/>
                <w:sz w:val="17"/>
                <w:szCs w:val="17"/>
              </w:rPr>
              <w:t xml:space="preserve">  │   Rules · Evidence · Prompt · Model · Edits · Decision   │                    </w:t>
            </w:r>
          </w:p>
          <w:p>
            <w:pPr>
              <w:spacing w:before="0" w:after="0"/>
            </w:pPr>
            <w:r>
              <w:rPr>
                <w:rFonts w:ascii="Courier New" w:cs="Courier New" w:eastAsia="Courier New" w:hAnsi="Courier New"/>
                <w:color w:val="A8D8F0"/>
                <w:sz w:val="17"/>
                <w:szCs w:val="17"/>
              </w:rPr>
              <w:t xml:space="preserve">  └─────────────────────────────────────────────────────────┘                    </w:t>
            </w:r>
          </w:p>
        </w:tc>
      </w:tr>
    </w:tbl>
    <w:p>
      <w:pPr>
        <w:spacing w:before="0" w:after="100"/>
      </w:pP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3D" w:sz="1"/>
              <w:left w:val="single" w:color="0A1F3D" w:sz="1"/>
              <w:bottom w:val="single" w:color="0A1F3D" w:sz="1"/>
              <w:right w:val="single" w:color="0A1F3D" w:sz="1"/>
            </w:tcBorders>
            <w:shd w:fill="0A1F3D" w:val="clear"/>
            <w:tcMar>
              <w:top w:type="dxa" w:w="70"/>
              <w:left w:type="dxa" w:w="200"/>
              <w:bottom w:type="dxa" w:w="70"/>
              <w:right w:type="dxa" w:w="200"/>
            </w:tcMar>
          </w:tcPr>
          <w:p>
            <w:pPr>
              <w:jc w:val="center"/>
            </w:pPr>
            <w:r>
              <w:rPr>
                <w:rFonts w:ascii="Arial" w:cs="Arial" w:eastAsia="Arial" w:hAnsi="Arial"/>
                <w:b/>
                <w:bCs/>
                <w:color w:val="00AEEF"/>
                <w:sz w:val="19"/>
                <w:szCs w:val="19"/>
              </w:rPr>
              <w:t xml:space="preserve">DIAGRAM 2 — PROCESSING WORKFLOW</w:t>
            </w:r>
          </w:p>
        </w:tc>
      </w:tr>
      <w:tr>
        <w:tc>
          <w:tcPr>
            <w:tcW w:type="dxa" w:w="9360"/>
            <w:tcBorders>
              <w:top w:val="single" w:color="0A1F3D" w:sz="1"/>
              <w:left w:val="single" w:color="0A1F3D" w:sz="1"/>
              <w:bottom w:val="single" w:color="0A1F3D" w:sz="1"/>
              <w:right w:val="single" w:color="0A1F3D" w:sz="1"/>
            </w:tcBorders>
            <w:shd w:fill="1A4E8A" w:val="clear"/>
            <w:tcMar>
              <w:top w:type="dxa" w:w="40"/>
              <w:left w:type="dxa" w:w="200"/>
              <w:bottom w:type="dxa" w:w="40"/>
              <w:right w:type="dxa" w:w="200"/>
            </w:tcMar>
          </w:tcPr>
          <w:p>
            <w:pPr>
              <w:jc w:val="center"/>
            </w:pPr>
            <w:r>
              <w:rPr>
                <w:rFonts w:ascii="Arial" w:cs="Arial" w:eastAsia="Arial" w:hAnsi="Arial"/>
                <w:i/>
                <w:iCs/>
                <w:color w:val="C8DCF0"/>
                <w:sz w:val="17"/>
                <w:szCs w:val="17"/>
              </w:rPr>
              <w:t xml:space="preserve">Step-by-step data processing from alert ingestion to approved SAR submission</w:t>
            </w:r>
          </w:p>
        </w:tc>
      </w:tr>
      <w:tr>
        <w:tc>
          <w:tcPr>
            <w:tcW w:type="dxa" w:w="9360"/>
            <w:tcBorders>
              <w:top w:val="single" w:color="0A1F3D" w:sz="1"/>
              <w:left w:val="single" w:color="0A1F3D" w:sz="1"/>
              <w:bottom w:val="single" w:color="0A1F3D" w:sz="1"/>
              <w:right w:val="single" w:color="0A1F3D" w:sz="1"/>
            </w:tcBorders>
            <w:shd w:fill="0D1B2A" w:val="clear"/>
            <w:tcMar>
              <w:top w:type="dxa" w:w="120"/>
              <w:left w:type="dxa" w:w="180"/>
              <w:bottom w:type="dxa" w:w="120"/>
              <w:right w:type="dxa" w:w="180"/>
            </w:tcMar>
          </w:tcPr>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① INGEST                                                                       </w:t>
            </w:r>
          </w:p>
          <w:p>
            <w:pPr>
              <w:spacing w:before="0" w:after="0"/>
            </w:pPr>
            <w:r>
              <w:rPr>
                <w:rFonts w:ascii="Courier New" w:cs="Courier New" w:eastAsia="Courier New" w:hAnsi="Courier New"/>
                <w:color w:val="A8D8F0"/>
                <w:sz w:val="17"/>
                <w:szCs w:val="17"/>
              </w:rPr>
              <w:t xml:space="preserve">  Alert JSON ──► Validate schema ──► Assign Case ID ──► Push to Redis queue      </w:t>
            </w:r>
          </w:p>
          <w:p>
            <w:pPr>
              <w:spacing w:before="0" w:after="0"/>
            </w:pPr>
            <w:r>
              <w:rPr>
                <w:rFonts w:ascii="Courier New" w:cs="Courier New" w:eastAsia="Courier New" w:hAnsi="Courier New"/>
                <w:color w:val="A8D8F0"/>
                <w:sz w:val="17"/>
                <w:szCs w:val="17"/>
              </w:rPr>
              <w:t xml:space="preserve">                 └─ Invalid? ──► Quarantine + analyst alert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② ENRICH                                                                       </w:t>
            </w:r>
          </w:p>
          <w:p>
            <w:pPr>
              <w:spacing w:before="0" w:after="0"/>
            </w:pPr>
            <w:r>
              <w:rPr>
                <w:rFonts w:ascii="Courier New" w:cs="Courier New" w:eastAsia="Courier New" w:hAnsi="Courier New"/>
                <w:color w:val="A8D8F0"/>
                <w:sz w:val="17"/>
                <w:szCs w:val="17"/>
              </w:rPr>
              <w:t xml:space="preserve">  Fetch: Customer risk  │  Transaction history  │  KYC profile  │  Relationships  </w:t>
            </w:r>
          </w:p>
          <w:p>
            <w:pPr>
              <w:spacing w:before="0" w:after="0"/>
            </w:pPr>
            <w:r>
              <w:rPr>
                <w:rFonts w:ascii="Courier New" w:cs="Courier New" w:eastAsia="Courier New" w:hAnsi="Courier New"/>
                <w:color w:val="A8D8F0"/>
                <w:sz w:val="17"/>
                <w:szCs w:val="17"/>
              </w:rPr>
              <w:t xml:space="preserve">  Compute: Velocity  │  Counterparty concentration  │  Amount distribution        </w:t>
            </w:r>
          </w:p>
          <w:p>
            <w:pPr>
              <w:spacing w:before="0" w:after="0"/>
            </w:pPr>
            <w:r>
              <w:rPr>
                <w:rFonts w:ascii="Courier New" w:cs="Courier New" w:eastAsia="Courier New" w:hAnsi="Courier New"/>
                <w:color w:val="A8D8F0"/>
                <w:sz w:val="17"/>
                <w:szCs w:val="17"/>
              </w:rPr>
              <w:t xml:space="preserve">  Output: Decision Dataset  ◄─── SEALED HERE (never forwarded to LLM)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③ RULE ENGINE  [Deterministic — AML-YAML vGit]                                 </w:t>
            </w:r>
          </w:p>
          <w:p>
            <w:pPr>
              <w:spacing w:before="0" w:after="0"/>
            </w:pPr>
            <w:r>
              <w:rPr>
                <w:rFonts w:ascii="Courier New" w:cs="Courier New" w:eastAsia="Courier New" w:hAnsi="Courier New"/>
                <w:color w:val="A8D8F0"/>
                <w:sz w:val="17"/>
                <w:szCs w:val="17"/>
              </w:rPr>
              <w:t xml:space="preserve">  Decision Dataset ──► Load versioned rules ──► Evaluate each rule                </w:t>
            </w:r>
          </w:p>
          <w:p>
            <w:pPr>
              <w:spacing w:before="0" w:after="0"/>
            </w:pPr>
            <w:r>
              <w:rPr>
                <w:rFonts w:ascii="Courier New" w:cs="Courier New" w:eastAsia="Courier New" w:hAnsi="Courier New"/>
                <w:color w:val="A8D8F0"/>
                <w:sz w:val="17"/>
                <w:szCs w:val="17"/>
              </w:rPr>
              <w:t xml:space="preserve">  Rule fires? YES ──► Evidence Block { rule_id, score, evidence[] }               </w:t>
            </w:r>
          </w:p>
          <w:p>
            <w:pPr>
              <w:spacing w:before="0" w:after="0"/>
            </w:pPr>
            <w:r>
              <w:rPr>
                <w:rFonts w:ascii="Courier New" w:cs="Courier New" w:eastAsia="Courier New" w:hAnsi="Courier New"/>
                <w:color w:val="A8D8F0"/>
                <w:sz w:val="17"/>
                <w:szCs w:val="17"/>
              </w:rPr>
              <w:t xml:space="preserve">            NO  ──► State = NO_RULE ──► Case closed, audit record kept            </w:t>
            </w:r>
          </w:p>
          <w:p>
            <w:pPr>
              <w:spacing w:before="0" w:after="0"/>
            </w:pPr>
            <w:r>
              <w:rPr>
                <w:rFonts w:ascii="Courier New" w:cs="Courier New" w:eastAsia="Courier New" w:hAnsi="Courier New"/>
                <w:color w:val="A8D8F0"/>
                <w:sz w:val="17"/>
                <w:szCs w:val="17"/>
              </w:rPr>
              <w:t xml:space="preserve">  Aggregate: Weighted risk score across all triggered rules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④ EVIDENCE PACK BUILDER  [PII BOUNDARY — architecturally enforced]             </w:t>
            </w:r>
          </w:p>
          <w:p>
            <w:pPr>
              <w:spacing w:before="0" w:after="0"/>
            </w:pPr>
            <w:r>
              <w:rPr>
                <w:rFonts w:ascii="Courier New" w:cs="Courier New" w:eastAsia="Courier New" w:hAnsi="Courier New"/>
                <w:color w:val="A8D8F0"/>
                <w:sz w:val="17"/>
                <w:szCs w:val="17"/>
              </w:rPr>
              <w:t xml:space="preserve">  IN:   Evidence Blocks + anonymised transaction summaries                        </w:t>
            </w:r>
          </w:p>
          <w:p>
            <w:pPr>
              <w:spacing w:before="0" w:after="0"/>
            </w:pPr>
            <w:r>
              <w:rPr>
                <w:rFonts w:ascii="Courier New" w:cs="Courier New" w:eastAsia="Courier New" w:hAnsi="Courier New"/>
                <w:color w:val="A8D8F0"/>
                <w:sz w:val="17"/>
                <w:szCs w:val="17"/>
              </w:rPr>
              <w:t xml:space="preserve">  STRIP: Account IDs │ Customer names │ Raw transaction lists │ All PII           </w:t>
            </w:r>
          </w:p>
          <w:p>
            <w:pPr>
              <w:spacing w:before="0" w:after="0"/>
            </w:pPr>
            <w:r>
              <w:rPr>
                <w:rFonts w:ascii="Courier New" w:cs="Courier New" w:eastAsia="Courier New" w:hAnsi="Courier New"/>
                <w:color w:val="A8D8F0"/>
                <w:sz w:val="17"/>
                <w:szCs w:val="17"/>
              </w:rPr>
              <w:t xml:space="preserve">  OUT:  Narrative Dataset ──► Only data the LLM will ever see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⑤ RAG RETRIEVAL                                                                </w:t>
            </w:r>
          </w:p>
          <w:p>
            <w:pPr>
              <w:spacing w:before="0" w:after="0"/>
            </w:pPr>
            <w:r>
              <w:rPr>
                <w:rFonts w:ascii="Courier New" w:cs="Courier New" w:eastAsia="Courier New" w:hAnsi="Courier New"/>
                <w:color w:val="A8D8F0"/>
                <w:sz w:val="17"/>
                <w:szCs w:val="17"/>
              </w:rPr>
              <w:t xml:space="preserve">  Embed Narrative Dataset ──► Query ChromaDB ──► Top-5 similar SARs + guidance   </w:t>
            </w:r>
          </w:p>
          <w:p>
            <w:pPr>
              <w:spacing w:before="0" w:after="0"/>
            </w:pPr>
            <w:r>
              <w:rPr>
                <w:rFonts w:ascii="Courier New" w:cs="Courier New" w:eastAsia="Courier New" w:hAnsi="Courier New"/>
                <w:color w:val="A8D8F0"/>
                <w:sz w:val="17"/>
                <w:szCs w:val="17"/>
              </w:rPr>
              <w:t xml:space="preserve">  Log: corpus snapshot ID │ document IDs │ similarity scores  ──► Audit record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⑥ PROMPT CONSTRUCTOR  [Jinja2 — version-controlled + SHA-pinned]               </w:t>
            </w:r>
          </w:p>
          <w:p>
            <w:pPr>
              <w:spacing w:before="0" w:after="0"/>
            </w:pPr>
            <w:r>
              <w:rPr>
                <w:rFonts w:ascii="Courier New" w:cs="Courier New" w:eastAsia="Courier New" w:hAnsi="Courier New"/>
                <w:color w:val="A8D8F0"/>
                <w:sz w:val="17"/>
                <w:szCs w:val="17"/>
              </w:rPr>
              <w:t xml:space="preserve">  Assemble: System instructions + Narrative Dataset + Evidence + Retrieved docs   </w:t>
            </w:r>
          </w:p>
          <w:p>
            <w:pPr>
              <w:spacing w:before="0" w:after="0"/>
            </w:pPr>
            <w:r>
              <w:rPr>
                <w:rFonts w:ascii="Courier New" w:cs="Courier New" w:eastAsia="Courier New" w:hAnsi="Courier New"/>
                <w:color w:val="A8D8F0"/>
                <w:sz w:val="17"/>
                <w:szCs w:val="17"/>
              </w:rPr>
              <w:t xml:space="preserve">  Log: template SHA hash + version tag  ──► Audit record before generation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⑦ LLM GENERATION  [Llama 3.1 · temp 0.3 · max_tokens 2048]                    </w:t>
            </w:r>
          </w:p>
          <w:p>
            <w:pPr>
              <w:spacing w:before="0" w:after="0"/>
            </w:pPr>
            <w:r>
              <w:rPr>
                <w:rFonts w:ascii="Courier New" w:cs="Courier New" w:eastAsia="Courier New" w:hAnsi="Courier New"/>
                <w:color w:val="A8D8F0"/>
                <w:sz w:val="17"/>
                <w:szCs w:val="17"/>
              </w:rPr>
              <w:t xml:space="preserve">  Input:  Assembled prompt (bounded evidence only)                                </w:t>
            </w:r>
          </w:p>
          <w:p>
            <w:pPr>
              <w:spacing w:before="0" w:after="0"/>
            </w:pPr>
            <w:r>
              <w:rPr>
                <w:rFonts w:ascii="Courier New" w:cs="Courier New" w:eastAsia="Courier New" w:hAnsi="Courier New"/>
                <w:color w:val="A8D8F0"/>
                <w:sz w:val="17"/>
                <w:szCs w:val="17"/>
              </w:rPr>
              <w:t xml:space="preserve">  Output: Structured JSON ──► 8 mandatory regulatory fields populated             </w:t>
            </w:r>
          </w:p>
          <w:p>
            <w:pPr>
              <w:spacing w:before="0" w:after="0"/>
            </w:pPr>
            <w:r>
              <w:rPr>
                <w:rFonts w:ascii="Courier New" w:cs="Courier New" w:eastAsia="Courier New" w:hAnsi="Courier New"/>
                <w:color w:val="A8D8F0"/>
                <w:sz w:val="17"/>
                <w:szCs w:val="17"/>
              </w:rPr>
              <w:t xml:space="preserve">  Log:    Raw output preserved in audit record before any post-processing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⑧ VALIDATION  [8-Check Gate — auto-rejection if critical checks fail]          </w:t>
            </w:r>
          </w:p>
          <w:p>
            <w:pPr>
              <w:spacing w:before="0" w:after="0"/>
            </w:pPr>
            <w:r>
              <w:rPr>
                <w:rFonts w:ascii="Courier New" w:cs="Courier New" w:eastAsia="Courier New" w:hAnsi="Courier New"/>
                <w:color w:val="A8D8F0"/>
                <w:sz w:val="17"/>
                <w:szCs w:val="17"/>
              </w:rPr>
              <w:t xml:space="preserve">  ✓ Schema completeness    ✓ Date format          ✓ Currency consistency         </w:t>
            </w:r>
          </w:p>
          <w:p>
            <w:pPr>
              <w:spacing w:before="0" w:after="0"/>
            </w:pPr>
            <w:r>
              <w:rPr>
                <w:rFonts w:ascii="Courier New" w:cs="Courier New" w:eastAsia="Courier New" w:hAnsi="Courier New"/>
                <w:color w:val="A8D8F0"/>
                <w:sz w:val="17"/>
                <w:szCs w:val="17"/>
              </w:rPr>
              <w:t xml:space="preserve">  ✓ Cross-field coherence  ✓ Keyword scan         ✓ Evidence traceability        </w:t>
            </w:r>
          </w:p>
          <w:p>
            <w:pPr>
              <w:spacing w:before="0" w:after="0"/>
            </w:pPr>
            <w:r>
              <w:rPr>
                <w:rFonts w:ascii="Courier New" w:cs="Courier New" w:eastAsia="Courier New" w:hAnsi="Courier New"/>
                <w:color w:val="A8D8F0"/>
                <w:sz w:val="17"/>
                <w:szCs w:val="17"/>
              </w:rPr>
              <w:t xml:space="preserve">  ✓ Typology alignment     ✓ Explainability score threshold                      </w:t>
            </w:r>
          </w:p>
          <w:p>
            <w:pPr>
              <w:spacing w:before="0" w:after="0"/>
            </w:pPr>
            <w:r>
              <w:rPr>
                <w:rFonts w:ascii="Courier New" w:cs="Courier New" w:eastAsia="Courier New" w:hAnsi="Courier New"/>
                <w:color w:val="A8D8F0"/>
                <w:sz w:val="17"/>
                <w:szCs w:val="17"/>
              </w:rPr>
              <w:t xml:space="preserve">  FAIL ──► Regenerate (max 2 retries) ──► Escalate to analyst if persistent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⑨ HUMAN REVIEW + APPROVAL  [Mandatory — no bypass pathway]                    </w:t>
            </w:r>
          </w:p>
          <w:p>
            <w:pPr>
              <w:spacing w:before="0" w:after="0"/>
            </w:pPr>
            <w:r>
              <w:rPr>
                <w:rFonts w:ascii="Courier New" w:cs="Courier New" w:eastAsia="Courier New" w:hAnsi="Courier New"/>
                <w:color w:val="A8D8F0"/>
                <w:sz w:val="17"/>
                <w:szCs w:val="17"/>
              </w:rPr>
              <w:t xml:space="preserve">  Analyst reviews evidence panel + draft ──► Track-changes edit (diffs logged)   </w:t>
            </w:r>
          </w:p>
          <w:p>
            <w:pPr>
              <w:spacing w:before="0" w:after="0"/>
            </w:pPr>
            <w:r>
              <w:rPr>
                <w:rFonts w:ascii="Courier New" w:cs="Courier New" w:eastAsia="Courier New" w:hAnsi="Courier New"/>
                <w:color w:val="A8D8F0"/>
                <w:sz w:val="17"/>
                <w:szCs w:val="17"/>
              </w:rPr>
              <w:t xml:space="preserve">  ──► Approve with mandatory comment  OR  Reject with documented reason           </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⑩ EXPORT + AUDIT FINALISATION                                                  </w:t>
            </w:r>
          </w:p>
          <w:p>
            <w:pPr>
              <w:spacing w:before="0" w:after="0"/>
            </w:pPr>
            <w:r>
              <w:rPr>
                <w:rFonts w:ascii="Courier New" w:cs="Courier New" w:eastAsia="Courier New" w:hAnsi="Courier New"/>
                <w:color w:val="A8D8F0"/>
                <w:sz w:val="17"/>
                <w:szCs w:val="17"/>
              </w:rPr>
              <w:t xml:space="preserve">  Approved SAR ──► POST to Case Management System                                 </w:t>
            </w:r>
          </w:p>
          <w:p>
            <w:pPr>
              <w:spacing w:before="0" w:after="0"/>
            </w:pPr>
            <w:r>
              <w:rPr>
                <w:rFonts w:ascii="Courier New" w:cs="Courier New" w:eastAsia="Courier New" w:hAnsi="Courier New"/>
                <w:color w:val="A8D8F0"/>
                <w:sz w:val="17"/>
                <w:szCs w:val="17"/>
              </w:rPr>
              <w:t xml:space="preserve">  Complete audit record sealed (append-only) ──► PostgreSQL JSONB                 </w:t>
            </w:r>
          </w:p>
          <w:p>
            <w:pPr>
              <w:spacing w:before="0" w:after="0"/>
            </w:pPr>
            <w:r>
              <w:rPr>
                <w:rFonts w:ascii="Courier New" w:cs="Courier New" w:eastAsia="Courier New" w:hAnsi="Courier New"/>
                <w:color w:val="A8D8F0"/>
                <w:sz w:val="17"/>
                <w:szCs w:val="17"/>
              </w:rPr>
              <w:t xml:space="preserve">  Replay index updated ──► Case available for regulator audit on demand           </w:t>
            </w:r>
          </w:p>
        </w:tc>
      </w:tr>
    </w:tbl>
    <w:p>
      <w:pPr>
        <w:spacing w:before="0" w:after="100"/>
      </w:pP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3D" w:sz="1"/>
              <w:left w:val="single" w:color="0A1F3D" w:sz="1"/>
              <w:bottom w:val="single" w:color="0A1F3D" w:sz="1"/>
              <w:right w:val="single" w:color="0A1F3D" w:sz="1"/>
            </w:tcBorders>
            <w:shd w:fill="0A1F3D" w:val="clear"/>
            <w:tcMar>
              <w:top w:type="dxa" w:w="70"/>
              <w:left w:type="dxa" w:w="200"/>
              <w:bottom w:type="dxa" w:w="70"/>
              <w:right w:type="dxa" w:w="200"/>
            </w:tcMar>
          </w:tcPr>
          <w:p>
            <w:pPr>
              <w:jc w:val="center"/>
            </w:pPr>
            <w:r>
              <w:rPr>
                <w:rFonts w:ascii="Arial" w:cs="Arial" w:eastAsia="Arial" w:hAnsi="Arial"/>
                <w:b/>
                <w:bCs/>
                <w:color w:val="00AEEF"/>
                <w:sz w:val="19"/>
                <w:szCs w:val="19"/>
              </w:rPr>
              <w:t xml:space="preserve">DIAGRAM 3 — SECURITY &amp; COMPLIANCE BOUNDARY</w:t>
            </w:r>
          </w:p>
        </w:tc>
      </w:tr>
      <w:tr>
        <w:tc>
          <w:tcPr>
            <w:tcW w:type="dxa" w:w="9360"/>
            <w:tcBorders>
              <w:top w:val="single" w:color="0A1F3D" w:sz="1"/>
              <w:left w:val="single" w:color="0A1F3D" w:sz="1"/>
              <w:bottom w:val="single" w:color="0A1F3D" w:sz="1"/>
              <w:right w:val="single" w:color="0A1F3D" w:sz="1"/>
            </w:tcBorders>
            <w:shd w:fill="1A4E8A" w:val="clear"/>
            <w:tcMar>
              <w:top w:type="dxa" w:w="40"/>
              <w:left w:type="dxa" w:w="200"/>
              <w:bottom w:type="dxa" w:w="40"/>
              <w:right w:type="dxa" w:w="200"/>
            </w:tcMar>
          </w:tcPr>
          <w:p>
            <w:pPr>
              <w:jc w:val="center"/>
            </w:pPr>
            <w:r>
              <w:rPr>
                <w:rFonts w:ascii="Arial" w:cs="Arial" w:eastAsia="Arial" w:hAnsi="Arial"/>
                <w:i/>
                <w:iCs/>
                <w:color w:val="C8DCF0"/>
                <w:sz w:val="17"/>
                <w:szCs w:val="17"/>
              </w:rPr>
              <w:t xml:space="preserve">Defence-in-depth security architecture from perimeter to audit compliance layer</w:t>
            </w:r>
          </w:p>
        </w:tc>
      </w:tr>
      <w:tr>
        <w:tc>
          <w:tcPr>
            <w:tcW w:type="dxa" w:w="9360"/>
            <w:tcBorders>
              <w:top w:val="single" w:color="0A1F3D" w:sz="1"/>
              <w:left w:val="single" w:color="0A1F3D" w:sz="1"/>
              <w:bottom w:val="single" w:color="0A1F3D" w:sz="1"/>
              <w:right w:val="single" w:color="0A1F3D" w:sz="1"/>
            </w:tcBorders>
            <w:shd w:fill="0D1B2A" w:val="clear"/>
            <w:tcMar>
              <w:top w:type="dxa" w:w="120"/>
              <w:left w:type="dxa" w:w="180"/>
              <w:bottom w:type="dxa" w:w="120"/>
              <w:right w:type="dxa" w:w="180"/>
            </w:tcMar>
          </w:tcPr>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PERIMETER:  TLS 1.3 · API Gateway · Rate limiting · IP allowlist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IDENTITY:   JWT Auth · RBAC (4 roles) · MFA · Session timeout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ROLE-BASED ACCESS MODEL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   ANALYST     │ │   MANAGER     │ │  MODEL RISK / │ │   SYS ADMIN │  ║   </w:t>
            </w:r>
          </w:p>
          <w:p>
            <w:pPr>
              <w:spacing w:before="0" w:after="0"/>
            </w:pPr>
            <w:r>
              <w:rPr>
                <w:rFonts w:ascii="Courier New" w:cs="Courier New" w:eastAsia="Courier New" w:hAnsi="Courier New"/>
                <w:color w:val="A8D8F0"/>
                <w:sz w:val="17"/>
                <w:szCs w:val="17"/>
              </w:rPr>
              <w:t xml:space="preserve">  ║  │ Assigned case │ │ All analyst + │ │   REGULATOR   │ │ Infra + rule│  ║   </w:t>
            </w:r>
          </w:p>
          <w:p>
            <w:pPr>
              <w:spacing w:before="0" w:after="0"/>
            </w:pPr>
            <w:r>
              <w:rPr>
                <w:rFonts w:ascii="Courier New" w:cs="Courier New" w:eastAsia="Courier New" w:hAnsi="Courier New"/>
                <w:color w:val="A8D8F0"/>
                <w:sz w:val="17"/>
                <w:szCs w:val="17"/>
              </w:rPr>
              <w:t xml:space="preserve">  ║  │ read/edit/    │ │ re-assign +   │ │ Read-only all │ │ config only │  ║   </w:t>
            </w:r>
          </w:p>
          <w:p>
            <w:pPr>
              <w:spacing w:before="0" w:after="0"/>
            </w:pPr>
            <w:r>
              <w:rPr>
                <w:rFonts w:ascii="Courier New" w:cs="Courier New" w:eastAsia="Courier New" w:hAnsi="Courier New"/>
                <w:color w:val="A8D8F0"/>
                <w:sz w:val="17"/>
                <w:szCs w:val="17"/>
              </w:rPr>
              <w:t xml:space="preserve">  ║  │ approve only  │ │ override      │ │ + audit replay│ │ NO case data│  ║   </w:t>
            </w:r>
          </w:p>
          <w:p>
            <w:pPr>
              <w:spacing w:before="0" w:after="0"/>
            </w:pPr>
            <w:r>
              <w:rPr>
                <w:rFonts w:ascii="Courier New" w:cs="Courier New" w:eastAsia="Courier New" w:hAnsi="Courier New"/>
                <w:color w:val="A8D8F0"/>
                <w:sz w:val="17"/>
                <w:szCs w:val="17"/>
              </w:rPr>
              <w:t xml:space="preserve">  ║  └───────────────┘ └───────────────┘ └───────────────┘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PII ISOLATION BOUNDARY  [Architectural — not configurable]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    ┌──────────────────────────────┐  ║   </w:t>
            </w:r>
          </w:p>
          <w:p>
            <w:pPr>
              <w:spacing w:before="0" w:after="0"/>
            </w:pPr>
            <w:r>
              <w:rPr>
                <w:rFonts w:ascii="Courier New" w:cs="Courier New" w:eastAsia="Courier New" w:hAnsi="Courier New"/>
                <w:color w:val="A8D8F0"/>
                <w:sz w:val="17"/>
                <w:szCs w:val="17"/>
              </w:rPr>
              <w:t xml:space="preserve">  ║  │    DECISION LAYER        │    │    │     NARRATIVE LAYER          │  ║   </w:t>
            </w:r>
          </w:p>
          <w:p>
            <w:pPr>
              <w:spacing w:before="0" w:after="0"/>
            </w:pPr>
            <w:r>
              <w:rPr>
                <w:rFonts w:ascii="Courier New" w:cs="Courier New" w:eastAsia="Courier New" w:hAnsi="Courier New"/>
                <w:color w:val="A8D8F0"/>
                <w:sz w:val="17"/>
                <w:szCs w:val="17"/>
              </w:rPr>
              <w:t xml:space="preserve">  ║  │                          │    │    │                              │  ║   </w:t>
            </w:r>
          </w:p>
          <w:p>
            <w:pPr>
              <w:spacing w:before="0" w:after="0"/>
            </w:pPr>
            <w:r>
              <w:rPr>
                <w:rFonts w:ascii="Courier New" w:cs="Courier New" w:eastAsia="Courier New" w:hAnsi="Courier New"/>
                <w:color w:val="A8D8F0"/>
                <w:sz w:val="17"/>
                <w:szCs w:val="17"/>
              </w:rPr>
              <w:t xml:space="preserve">  ║  │  AML Rule Engine only    │    │    │  LLM receives:               │  ║   </w:t>
            </w:r>
          </w:p>
          <w:p>
            <w:pPr>
              <w:spacing w:before="0" w:after="0"/>
            </w:pPr>
            <w:r>
              <w:rPr>
                <w:rFonts w:ascii="Courier New" w:cs="Courier New" w:eastAsia="Courier New" w:hAnsi="Courier New"/>
                <w:color w:val="A8D8F0"/>
                <w:sz w:val="17"/>
                <w:szCs w:val="17"/>
              </w:rPr>
              <w:t xml:space="preserve">  ║  │  ✓ Raw transaction data  │    │    │  ✓ Anonymised summaries      │  ║   </w:t>
            </w:r>
          </w:p>
          <w:p>
            <w:pPr>
              <w:spacing w:before="0" w:after="0"/>
            </w:pPr>
            <w:r>
              <w:rPr>
                <w:rFonts w:ascii="Courier New" w:cs="Courier New" w:eastAsia="Courier New" w:hAnsi="Courier New"/>
                <w:color w:val="A8D8F0"/>
                <w:sz w:val="17"/>
                <w:szCs w:val="17"/>
              </w:rPr>
              <w:t xml:space="preserve">  ║  │  ✓ Account numbers       │  WALL  │  ✓ Evidence blocks           │  ║   </w:t>
            </w:r>
          </w:p>
          <w:p>
            <w:pPr>
              <w:spacing w:before="0" w:after="0"/>
            </w:pPr>
            <w:r>
              <w:rPr>
                <w:rFonts w:ascii="Courier New" w:cs="Courier New" w:eastAsia="Courier New" w:hAnsi="Courier New"/>
                <w:color w:val="A8D8F0"/>
                <w:sz w:val="17"/>
                <w:szCs w:val="17"/>
              </w:rPr>
              <w:t xml:space="preserve">  ║  │  ✓ Customer IDs          │    │    │  ✓ Retrieved excerpts        │  ║   </w:t>
            </w:r>
          </w:p>
          <w:p>
            <w:pPr>
              <w:spacing w:before="0" w:after="0"/>
            </w:pPr>
            <w:r>
              <w:rPr>
                <w:rFonts w:ascii="Courier New" w:cs="Courier New" w:eastAsia="Courier New" w:hAnsi="Courier New"/>
                <w:color w:val="A8D8F0"/>
                <w:sz w:val="17"/>
                <w:szCs w:val="17"/>
              </w:rPr>
              <w:t xml:space="preserve">  ║  │  ✓ Full KYC data         │    │    │  ✗ NO account numbers        │  ║   </w:t>
            </w:r>
          </w:p>
          <w:p>
            <w:pPr>
              <w:spacing w:before="0" w:after="0"/>
            </w:pPr>
            <w:r>
              <w:rPr>
                <w:rFonts w:ascii="Courier New" w:cs="Courier New" w:eastAsia="Courier New" w:hAnsi="Courier New"/>
                <w:color w:val="A8D8F0"/>
                <w:sz w:val="17"/>
                <w:szCs w:val="17"/>
              </w:rPr>
              <w:t xml:space="preserve">  ║  │                          │    │    │  ✗ NO raw transaction data   │  ║   </w:t>
            </w:r>
          </w:p>
          <w:p>
            <w:pPr>
              <w:spacing w:before="0" w:after="0"/>
            </w:pPr>
            <w:r>
              <w:rPr>
                <w:rFonts w:ascii="Courier New" w:cs="Courier New" w:eastAsia="Courier New" w:hAnsi="Courier New"/>
                <w:color w:val="A8D8F0"/>
                <w:sz w:val="17"/>
                <w:szCs w:val="17"/>
              </w:rPr>
              <w:t xml:space="preserve">  ║  │  Rule outputs only ──────────►──►  │  ✗ NO customer identifiers  │  ║   </w:t>
            </w:r>
          </w:p>
          <w:p>
            <w:pPr>
              <w:spacing w:before="0" w:after="0"/>
            </w:pPr>
            <w:r>
              <w:rPr>
                <w:rFonts w:ascii="Courier New" w:cs="Courier New" w:eastAsia="Courier New" w:hAnsi="Courier New"/>
                <w:color w:val="A8D8F0"/>
                <w:sz w:val="17"/>
                <w:szCs w:val="17"/>
              </w:rPr>
              <w:t xml:space="preserve">  ║  └──────────────────────────┘    │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DATA PROTECTION:  AES-256 at rest · TLS 1.3 in transit · Key rotation  ║   </w:t>
            </w:r>
          </w:p>
          <w:p>
            <w:pPr>
              <w:spacing w:before="0" w:after="0"/>
            </w:pPr>
            <w:r>
              <w:rPr>
                <w:rFonts w:ascii="Courier New" w:cs="Courier New" w:eastAsia="Courier New" w:hAnsi="Courier New"/>
                <w:color w:val="A8D8F0"/>
                <w:sz w:val="17"/>
                <w:szCs w:val="17"/>
              </w:rPr>
              <w:t xml:space="preserve">  ║  PII field-level masking in audit logs · Pseudonymisation in storage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AUDIT COMPLIANCE:  Immutable append-only logs · SIEM integration        ║   </w:t>
            </w:r>
          </w:p>
          <w:p>
            <w:pPr>
              <w:spacing w:before="0" w:after="0"/>
            </w:pPr>
            <w:r>
              <w:rPr>
                <w:rFonts w:ascii="Courier New" w:cs="Courier New" w:eastAsia="Courier New" w:hAnsi="Courier New"/>
                <w:color w:val="A8D8F0"/>
                <w:sz w:val="17"/>
                <w:szCs w:val="17"/>
              </w:rPr>
              <w:t xml:space="preserve">  ║  Regulator export endpoint · Replay-on-demand · SOC 2 aligned            ║   </w:t>
            </w:r>
          </w:p>
          <w:p>
            <w:pPr>
              <w:spacing w:before="0" w:after="0"/>
            </w:pPr>
            <w:r>
              <w:rPr>
                <w:rFonts w:ascii="Courier New" w:cs="Courier New" w:eastAsia="Courier New" w:hAnsi="Courier New"/>
                <w:color w:val="A8D8F0"/>
                <w:sz w:val="17"/>
                <w:szCs w:val="17"/>
              </w:rPr>
              <w:t xml:space="preserve">  ╚══════════════════════════════════════════════════════════════════════════╝   </w:t>
            </w:r>
          </w:p>
        </w:tc>
      </w:tr>
    </w:tbl>
    <w:p>
      <w:pPr>
        <w:spacing w:before="0" w:after="100"/>
      </w:pP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3D" w:sz="1"/>
              <w:left w:val="single" w:color="0A1F3D" w:sz="1"/>
              <w:bottom w:val="single" w:color="0A1F3D" w:sz="1"/>
              <w:right w:val="single" w:color="0A1F3D" w:sz="1"/>
            </w:tcBorders>
            <w:shd w:fill="0A1F3D" w:val="clear"/>
            <w:tcMar>
              <w:top w:type="dxa" w:w="70"/>
              <w:left w:type="dxa" w:w="200"/>
              <w:bottom w:type="dxa" w:w="70"/>
              <w:right w:type="dxa" w:w="200"/>
            </w:tcMar>
          </w:tcPr>
          <w:p>
            <w:pPr>
              <w:jc w:val="center"/>
            </w:pPr>
            <w:r>
              <w:rPr>
                <w:rFonts w:ascii="Arial" w:cs="Arial" w:eastAsia="Arial" w:hAnsi="Arial"/>
                <w:b/>
                <w:bCs/>
                <w:color w:val="00AEEF"/>
                <w:sz w:val="19"/>
                <w:szCs w:val="19"/>
              </w:rPr>
              <w:t xml:space="preserve">DIAGRAM 4 — DATA FLOW</w:t>
            </w:r>
          </w:p>
        </w:tc>
      </w:tr>
      <w:tr>
        <w:tc>
          <w:tcPr>
            <w:tcW w:type="dxa" w:w="9360"/>
            <w:tcBorders>
              <w:top w:val="single" w:color="0A1F3D" w:sz="1"/>
              <w:left w:val="single" w:color="0A1F3D" w:sz="1"/>
              <w:bottom w:val="single" w:color="0A1F3D" w:sz="1"/>
              <w:right w:val="single" w:color="0A1F3D" w:sz="1"/>
            </w:tcBorders>
            <w:shd w:fill="1A4E8A" w:val="clear"/>
            <w:tcMar>
              <w:top w:type="dxa" w:w="40"/>
              <w:left w:type="dxa" w:w="200"/>
              <w:bottom w:type="dxa" w:w="40"/>
              <w:right w:type="dxa" w:w="200"/>
            </w:tcMar>
          </w:tcPr>
          <w:p>
            <w:pPr>
              <w:jc w:val="center"/>
            </w:pPr>
            <w:r>
              <w:rPr>
                <w:rFonts w:ascii="Arial" w:cs="Arial" w:eastAsia="Arial" w:hAnsi="Arial"/>
                <w:i/>
                <w:iCs/>
                <w:color w:val="C8DCF0"/>
                <w:sz w:val="17"/>
                <w:szCs w:val="17"/>
              </w:rPr>
              <w:t xml:space="preserve">How data moves between modules — showing PII seal point and LLM input boundary</w:t>
            </w:r>
          </w:p>
        </w:tc>
      </w:tr>
      <w:tr>
        <w:tc>
          <w:tcPr>
            <w:tcW w:type="dxa" w:w="9360"/>
            <w:tcBorders>
              <w:top w:val="single" w:color="0A1F3D" w:sz="1"/>
              <w:left w:val="single" w:color="0A1F3D" w:sz="1"/>
              <w:bottom w:val="single" w:color="0A1F3D" w:sz="1"/>
              <w:right w:val="single" w:color="0A1F3D" w:sz="1"/>
            </w:tcBorders>
            <w:shd w:fill="0D1B2A" w:val="clear"/>
            <w:tcMar>
              <w:top w:type="dxa" w:w="120"/>
              <w:left w:type="dxa" w:w="180"/>
              <w:bottom w:type="dxa" w:w="120"/>
              <w:right w:type="dxa" w:w="180"/>
            </w:tcMar>
          </w:tcPr>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[TXN Monitor] ──Alert JSON──►  INGESTION  ──Case ID──►  ORCHESTRATOR           </w:t>
            </w:r>
          </w:p>
          <w:p>
            <w:pPr>
              <w:spacing w:before="0" w:after="0"/>
            </w:pPr>
            <w:r>
              <w:rPr>
                <w:rFonts w:ascii="Courier New" w:cs="Courier New" w:eastAsia="Courier New" w:hAnsi="Courier New"/>
                <w:color w:val="A8D8F0"/>
                <w:sz w:val="17"/>
                <w:szCs w:val="17"/>
              </w:rPr>
              <w:t xml:space="preserve">  [Core Banking] ──Customer──►   ENRICHMENT  ────────────────┐                   </w:t>
            </w:r>
          </w:p>
          <w:p>
            <w:pPr>
              <w:spacing w:before="0" w:after="0"/>
            </w:pPr>
            <w:r>
              <w:rPr>
                <w:rFonts w:ascii="Courier New" w:cs="Courier New" w:eastAsia="Courier New" w:hAnsi="Courier New"/>
                <w:color w:val="A8D8F0"/>
                <w:sz w:val="17"/>
                <w:szCs w:val="17"/>
              </w:rPr>
              <w:t xml:space="preserve">  [KYC / CDD]   ──Risk data──►               ←sealed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DECISION DATASET         │                   </w:t>
            </w:r>
          </w:p>
          <w:p>
            <w:pPr>
              <w:spacing w:before="0" w:after="0"/>
            </w:pPr>
            <w:r>
              <w:rPr>
                <w:rFonts w:ascii="Courier New" w:cs="Courier New" w:eastAsia="Courier New" w:hAnsi="Courier New"/>
                <w:color w:val="A8D8F0"/>
                <w:sz w:val="17"/>
                <w:szCs w:val="17"/>
              </w:rPr>
              <w:t xml:space="preserve">                             │  (raw TXN · accounts · PII)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AML RULE ENG  │                        │ Sealed             </w:t>
            </w:r>
          </w:p>
          <w:p>
            <w:pPr>
              <w:spacing w:before="0" w:after="0"/>
            </w:pPr>
            <w:r>
              <w:rPr>
                <w:rFonts w:ascii="Courier New" w:cs="Courier New" w:eastAsia="Courier New" w:hAnsi="Courier New"/>
                <w:color w:val="A8D8F0"/>
                <w:sz w:val="17"/>
                <w:szCs w:val="17"/>
              </w:rPr>
              <w:t xml:space="preserve">                     │  YAML rules    │                        │ never              </w:t>
            </w:r>
          </w:p>
          <w:p>
            <w:pPr>
              <w:spacing w:before="0" w:after="0"/>
            </w:pPr>
            <w:r>
              <w:rPr>
                <w:rFonts w:ascii="Courier New" w:cs="Courier New" w:eastAsia="Courier New" w:hAnsi="Courier New"/>
                <w:color w:val="A8D8F0"/>
                <w:sz w:val="17"/>
                <w:szCs w:val="17"/>
              </w:rPr>
              <w:t xml:space="preserve">                     │  Evidence Blks │                        │ reaches            </w:t>
            </w:r>
          </w:p>
          <w:p>
            <w:pPr>
              <w:spacing w:before="0" w:after="0"/>
            </w:pPr>
            <w:r>
              <w:rPr>
                <w:rFonts w:ascii="Courier New" w:cs="Courier New" w:eastAsia="Courier New" w:hAnsi="Courier New"/>
                <w:color w:val="A8D8F0"/>
                <w:sz w:val="17"/>
                <w:szCs w:val="17"/>
              </w:rPr>
              <w:t xml:space="preserve">                     └───────┬────────┘                        │ LLM               </w:t>
            </w:r>
          </w:p>
          <w:p>
            <w:pPr>
              <w:spacing w:before="0" w:after="0"/>
            </w:pPr>
            <w:r>
              <w:rPr>
                <w:rFonts w:ascii="Courier New" w:cs="Courier New" w:eastAsia="Courier New" w:hAnsi="Courier New"/>
                <w:color w:val="A8D8F0"/>
                <w:sz w:val="17"/>
                <w:szCs w:val="17"/>
              </w:rPr>
              <w:t xml:space="preserve">                             │ Evidence blocks only             │                   </w:t>
            </w:r>
          </w:p>
          <w:p>
            <w:pPr>
              <w:spacing w:before="0" w:after="0"/>
            </w:pPr>
            <w:r>
              <w:rPr>
                <w:rFonts w:ascii="Courier New" w:cs="Courier New" w:eastAsia="Courier New" w:hAnsi="Courier New"/>
                <w:color w:val="A8D8F0"/>
                <w:sz w:val="17"/>
                <w:szCs w:val="17"/>
              </w:rPr>
              <w:t xml:space="preserve">                             ▼  ◄─── PII BOUNDARY ────────────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EVIDENCE PACK BUILDER                  │                </w:t>
            </w:r>
          </w:p>
          <w:p>
            <w:pPr>
              <w:spacing w:before="0" w:after="0"/>
            </w:pPr>
            <w:r>
              <w:rPr>
                <w:rFonts w:ascii="Courier New" w:cs="Courier New" w:eastAsia="Courier New" w:hAnsi="Courier New"/>
                <w:color w:val="A8D8F0"/>
                <w:sz w:val="17"/>
                <w:szCs w:val="17"/>
              </w:rPr>
              <w:t xml:space="preserve">                     │  STRIP: IDs · account nums · raw TXN list  │                </w:t>
            </w:r>
          </w:p>
          <w:p>
            <w:pPr>
              <w:spacing w:before="0" w:after="0"/>
            </w:pPr>
            <w:r>
              <w:rPr>
                <w:rFonts w:ascii="Courier New" w:cs="Courier New" w:eastAsia="Courier New" w:hAnsi="Courier New"/>
                <w:color w:val="A8D8F0"/>
                <w:sz w:val="17"/>
                <w:szCs w:val="17"/>
              </w:rPr>
              <w:t xml:space="preserve">                     │  KEEP:  Anonymised summaries + indicators   │                </w:t>
            </w:r>
          </w:p>
          <w:p>
            <w:pPr>
              <w:spacing w:before="0" w:after="0"/>
            </w:pPr>
            <w:r>
              <w:rPr>
                <w:rFonts w:ascii="Courier New" w:cs="Courier New" w:eastAsia="Courier New" w:hAnsi="Courier New"/>
                <w:color w:val="A8D8F0"/>
                <w:sz w:val="17"/>
                <w:szCs w:val="17"/>
              </w:rPr>
              <w:t xml:space="preserve">                     │  Output: NARRATIVE DATASET (LLM input)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RAG RETRIEVAL   │         │   PROMPT CONSTRUCTOR  │                          </w:t>
            </w:r>
          </w:p>
          <w:p>
            <w:pPr>
              <w:spacing w:before="0" w:after="0"/>
            </w:pPr>
            <w:r>
              <w:rPr>
                <w:rFonts w:ascii="Courier New" w:cs="Courier New" w:eastAsia="Courier New" w:hAnsi="Courier New"/>
                <w:color w:val="A8D8F0"/>
                <w:sz w:val="17"/>
                <w:szCs w:val="17"/>
              </w:rPr>
              <w:t xml:space="preserve">    │  ChromaDB query  │──docs──►│   Jinja2 templates    │                          </w:t>
            </w:r>
          </w:p>
          <w:p>
            <w:pPr>
              <w:spacing w:before="0" w:after="0"/>
            </w:pPr>
            <w:r>
              <w:rPr>
                <w:rFonts w:ascii="Courier New" w:cs="Courier New" w:eastAsia="Courier New" w:hAnsi="Courier New"/>
                <w:color w:val="A8D8F0"/>
                <w:sz w:val="17"/>
                <w:szCs w:val="17"/>
              </w:rPr>
              <w:t xml:space="preserve">    │  Top-5 excerpts  │         │   SHA-versioned        │                          </w:t>
            </w:r>
          </w:p>
          <w:p>
            <w:pPr>
              <w:spacing w:before="0" w:after="0"/>
            </w:pPr>
            <w:r>
              <w:rPr>
                <w:rFonts w:ascii="Courier New" w:cs="Courier New" w:eastAsia="Courier New" w:hAnsi="Courier New"/>
                <w:color w:val="A8D8F0"/>
                <w:sz w:val="17"/>
                <w:szCs w:val="17"/>
              </w:rPr>
              <w:t xml:space="preserve">    └──────────────────┘         └──────────┬───────────┘                          </w:t>
            </w:r>
          </w:p>
          <w:p>
            <w:pPr>
              <w:spacing w:before="0" w:after="0"/>
            </w:pPr>
            <w:r>
              <w:rPr>
                <w:rFonts w:ascii="Courier New" w:cs="Courier New" w:eastAsia="Courier New" w:hAnsi="Courier New"/>
                <w:color w:val="A8D8F0"/>
                <w:sz w:val="17"/>
                <w:szCs w:val="17"/>
              </w:rPr>
              <w:t xml:space="preserve">                                            │ Assembled prompt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LLM  LLAMA 3.1  │                            </w:t>
            </w:r>
          </w:p>
          <w:p>
            <w:pPr>
              <w:spacing w:before="0" w:after="0"/>
            </w:pPr>
            <w:r>
              <w:rPr>
                <w:rFonts w:ascii="Courier New" w:cs="Courier New" w:eastAsia="Courier New" w:hAnsi="Courier New"/>
                <w:color w:val="A8D8F0"/>
                <w:sz w:val="17"/>
                <w:szCs w:val="17"/>
              </w:rPr>
              <w:t xml:space="preserve">                                  │  temp=0.3 · 2048t │                            </w:t>
            </w:r>
          </w:p>
          <w:p>
            <w:pPr>
              <w:spacing w:before="0" w:after="0"/>
            </w:pPr>
            <w:r>
              <w:rPr>
                <w:rFonts w:ascii="Courier New" w:cs="Courier New" w:eastAsia="Courier New" w:hAnsi="Courier New"/>
                <w:color w:val="A8D8F0"/>
                <w:sz w:val="17"/>
                <w:szCs w:val="17"/>
              </w:rPr>
              <w:t xml:space="preserve">                                  │  JSON schema out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Raw JSON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VALIDATION ENGINE     │                          </w:t>
            </w:r>
          </w:p>
          <w:p>
            <w:pPr>
              <w:spacing w:before="0" w:after="0"/>
            </w:pPr>
            <w:r>
              <w:rPr>
                <w:rFonts w:ascii="Courier New" w:cs="Courier New" w:eastAsia="Courier New" w:hAnsi="Courier New"/>
                <w:color w:val="A8D8F0"/>
                <w:sz w:val="17"/>
                <w:szCs w:val="17"/>
              </w:rPr>
              <w:t xml:space="preserve">                              │   8 automated checks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w:t>
            </w:r>
          </w:p>
          <w:p>
            <w:pPr>
              <w:spacing w:before="0" w:after="0"/>
            </w:pPr>
            <w:r>
              <w:rPr>
                <w:rFonts w:ascii="Courier New" w:cs="Courier New" w:eastAsia="Courier New" w:hAnsi="Courier New"/>
                <w:color w:val="A8D8F0"/>
                <w:sz w:val="17"/>
                <w:szCs w:val="17"/>
              </w:rPr>
              <w:t xml:space="preserve">                     │                  │                        │                  </w:t>
            </w:r>
          </w:p>
          <w:p>
            <w:pPr>
              <w:spacing w:before="0" w:after="0"/>
            </w:pPr>
            <w:r>
              <w:rPr>
                <w:rFonts w:ascii="Courier New" w:cs="Courier New" w:eastAsia="Courier New" w:hAnsi="Courier New"/>
                <w:color w:val="A8D8F0"/>
                <w:sz w:val="17"/>
                <w:szCs w:val="17"/>
              </w:rPr>
              <w:t xml:space="preserve">                     ▼                  ▼                        ▼                  </w:t>
            </w:r>
          </w:p>
          <w:p>
            <w:pPr>
              <w:spacing w:before="0" w:after="0"/>
            </w:pPr>
            <w:r>
              <w:rPr>
                <w:rFonts w:ascii="Courier New" w:cs="Courier New" w:eastAsia="Courier New" w:hAnsi="Courier New"/>
                <w:color w:val="A8D8F0"/>
                <w:sz w:val="17"/>
                <w:szCs w:val="17"/>
              </w:rPr>
              <w:t xml:space="preserve">           ┌──────────────┐  ┌──────────────────┐  ┌────────────────────┐         </w:t>
            </w:r>
          </w:p>
          <w:p>
            <w:pPr>
              <w:spacing w:before="0" w:after="0"/>
            </w:pPr>
            <w:r>
              <w:rPr>
                <w:rFonts w:ascii="Courier New" w:cs="Courier New" w:eastAsia="Courier New" w:hAnsi="Courier New"/>
                <w:color w:val="A8D8F0"/>
                <w:sz w:val="17"/>
                <w:szCs w:val="17"/>
              </w:rPr>
              <w:t xml:space="preserve">           │  AUDIT LOG   │  │  ANALYST UI      │  │  CASE MGMT EXPORT  │         </w:t>
            </w:r>
          </w:p>
          <w:p>
            <w:pPr>
              <w:spacing w:before="0" w:after="0"/>
            </w:pPr>
            <w:r>
              <w:rPr>
                <w:rFonts w:ascii="Courier New" w:cs="Courier New" w:eastAsia="Courier New" w:hAnsi="Courier New"/>
                <w:color w:val="A8D8F0"/>
                <w:sz w:val="17"/>
                <w:szCs w:val="17"/>
              </w:rPr>
              <w:t xml:space="preserve">           │  PostgreSQL  │  │  React · JWT     │  │  REST API          │         </w:t>
            </w:r>
          </w:p>
          <w:p>
            <w:pPr>
              <w:spacing w:before="0" w:after="0"/>
            </w:pPr>
            <w:r>
              <w:rPr>
                <w:rFonts w:ascii="Courier New" w:cs="Courier New" w:eastAsia="Courier New" w:hAnsi="Courier New"/>
                <w:color w:val="A8D8F0"/>
                <w:sz w:val="17"/>
                <w:szCs w:val="17"/>
              </w:rPr>
              <w:t xml:space="preserve">           │  Immutable   │  │  Approve/Reject  │  │  On approval only  │         </w:t>
            </w:r>
          </w:p>
          <w:p>
            <w:pPr>
              <w:spacing w:before="0" w:after="0"/>
            </w:pPr>
            <w:r>
              <w:rPr>
                <w:rFonts w:ascii="Courier New" w:cs="Courier New" w:eastAsia="Courier New" w:hAnsi="Courier New"/>
                <w:color w:val="A8D8F0"/>
                <w:sz w:val="17"/>
                <w:szCs w:val="17"/>
              </w:rPr>
              <w:t xml:space="preserve">           └──────────────┘  └──────────────────┘  └────────────────────┘         </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6. Methodology</w:t>
      </w:r>
    </w:p>
    <w:p>
      <w:pPr>
        <w:pStyle w:val="Heading2"/>
        <w:spacing w:before="280" w:after="100"/>
      </w:pPr>
      <w:r>
        <w:rPr>
          <w:rFonts w:ascii="Arial" w:cs="Arial" w:eastAsia="Arial" w:hAnsi="Arial"/>
          <w:b/>
          <w:bCs/>
          <w:color w:val="1A4E8A"/>
          <w:sz w:val="26"/>
          <w:szCs w:val="26"/>
        </w:rPr>
        <w:t xml:space="preserve">6.1  Scalability Design</w:t>
      </w:r>
    </w:p>
    <w:p>
      <w:pPr>
        <w:spacing w:before="60" w:after="100"/>
        <w:jc w:val="both"/>
      </w:pPr>
      <w:r>
        <w:rPr>
          <w:rFonts w:ascii="Arial" w:cs="Arial" w:eastAsia="Arial" w:hAnsi="Arial"/>
          <w:color w:val="1A1A1A"/>
          <w:sz w:val="22"/>
          <w:szCs w:val="22"/>
        </w:rPr>
        <w:t xml:space="preserve">Every processing component is stateless with respect to case data — all state is persisted in PostgreSQL and Redis. This enables horizontal scaling by adding instances without architectural modification. The Case Orchestrator distributes work through Redis queues, allowing concurrent processing across enrichment, rule engine, and LLM inference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Component</w:t>
            </w:r>
          </w:p>
        </w:tc>
        <w:tc>
          <w:tcPr>
            <w:tcW w:type="dxa" w:w="30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Scaling Mechanism</w:t>
            </w:r>
          </w:p>
        </w:tc>
        <w:tc>
          <w:tcPr>
            <w:tcW w:type="dxa" w:w="39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Enterprise Target</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Ingestion (FastAPI)</w:t>
            </w:r>
          </w:p>
        </w:tc>
        <w:tc>
          <w:tcPr>
            <w:tcW w:type="dxa" w:w="3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Kubernetes HPA — horizontal pod autoscaling</w:t>
            </w:r>
          </w:p>
        </w:tc>
        <w:tc>
          <w:tcPr>
            <w:tcW w:type="dxa" w:w="39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Thousands of alerts/minute via Kafka integration</w:t>
            </w:r>
          </w:p>
        </w:tc>
      </w:tr>
      <w:tr>
        <w:tc>
          <w:tcPr>
            <w:tcW w:type="dxa" w:w="2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Rule Engine</w:t>
            </w:r>
          </w:p>
        </w:tc>
        <w:tc>
          <w:tcPr>
            <w:tcW w:type="dxa" w:w="30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Stateless, embarrassingly parallel</w:t>
            </w:r>
          </w:p>
        </w:tc>
        <w:tc>
          <w:tcPr>
            <w:tcW w:type="dxa" w:w="39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Sub-second per case on standard compute</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LLM Inference</w:t>
            </w:r>
          </w:p>
        </w:tc>
        <w:tc>
          <w:tcPr>
            <w:tcW w:type="dxa" w:w="3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vLLM multi-GPU batch inference, distributed nodes</w:t>
            </w:r>
          </w:p>
        </w:tc>
        <w:tc>
          <w:tcPr>
            <w:tcW w:type="dxa" w:w="39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~3 min per narrative; parallelisable across GPU fleet</w:t>
            </w:r>
          </w:p>
        </w:tc>
      </w:tr>
      <w:tr>
        <w:tc>
          <w:tcPr>
            <w:tcW w:type="dxa" w:w="2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Vector Retrieval</w:t>
            </w:r>
          </w:p>
        </w:tc>
        <w:tc>
          <w:tcPr>
            <w:tcW w:type="dxa" w:w="30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ChromaDB distributed with index sharding</w:t>
            </w:r>
          </w:p>
        </w:tc>
        <w:tc>
          <w:tcPr>
            <w:tcW w:type="dxa" w:w="39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Millisecond retrieval at enterprise corpus scale</w:t>
            </w:r>
          </w:p>
        </w:tc>
      </w:tr>
      <w:tr>
        <w:tc>
          <w:tcPr>
            <w:tcW w:type="dxa" w:w="2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PostgreSQL (Audit)</w:t>
            </w:r>
          </w:p>
        </w:tc>
        <w:tc>
          <w:tcPr>
            <w:tcW w:type="dxa" w:w="3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Read replicas + partitioned tables by month</w:t>
            </w:r>
          </w:p>
        </w:tc>
        <w:tc>
          <w:tcPr>
            <w:tcW w:type="dxa" w:w="39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10M+ audit records with sustained query performance</w:t>
            </w:r>
          </w:p>
        </w:tc>
      </w:tr>
    </w:tbl>
    <w:p>
      <w:pPr>
        <w:spacing w:before="0" w:after="100"/>
      </w:pPr>
    </w:p>
    <w:p>
      <w:pPr>
        <w:pStyle w:val="Heading2"/>
        <w:spacing w:before="280" w:after="100"/>
      </w:pPr>
      <w:r>
        <w:rPr>
          <w:rFonts w:ascii="Arial" w:cs="Arial" w:eastAsia="Arial" w:hAnsi="Arial"/>
          <w:b/>
          <w:bCs/>
          <w:color w:val="1A4E8A"/>
          <w:sz w:val="26"/>
          <w:szCs w:val="26"/>
        </w:rPr>
        <w:t xml:space="preserve">6.2  Performance Optimisation</w:t>
      </w:r>
    </w:p>
    <w:p>
      <w:pPr>
        <w:pStyle w:val="ListParagraph"/>
        <w:numPr>
          <w:ilvl w:val="0"/>
          <w:numId w:val="2"/>
        </w:numPr>
        <w:spacing w:before="30" w:after="50"/>
      </w:pPr>
      <w:r>
        <w:rPr>
          <w:rFonts w:ascii="Arial" w:cs="Arial" w:eastAsia="Arial" w:hAnsi="Arial"/>
          <w:color w:val="1A1A1A"/>
          <w:sz w:val="22"/>
          <w:szCs w:val="22"/>
        </w:rPr>
        <w:t xml:space="preserve">Risk score computed during rule evaluation to prioritise the analyst queue — highest-risk cases surface first without additional processing.</w:t>
      </w:r>
    </w:p>
    <w:p>
      <w:pPr>
        <w:pStyle w:val="ListParagraph"/>
        <w:numPr>
          <w:ilvl w:val="0"/>
          <w:numId w:val="2"/>
        </w:numPr>
        <w:spacing w:before="30" w:after="50"/>
      </w:pPr>
      <w:r>
        <w:rPr>
          <w:rFonts w:ascii="Arial" w:cs="Arial" w:eastAsia="Arial" w:hAnsi="Arial"/>
          <w:color w:val="1A1A1A"/>
          <w:sz w:val="22"/>
          <w:szCs w:val="22"/>
        </w:rPr>
        <w:t xml:space="preserve">ChromaDB HNSW indexing ensures sub-50ms retrieval for the RAG layer regardless of corpus size.</w:t>
      </w:r>
    </w:p>
    <w:p>
      <w:pPr>
        <w:pStyle w:val="ListParagraph"/>
        <w:numPr>
          <w:ilvl w:val="0"/>
          <w:numId w:val="2"/>
        </w:numPr>
        <w:spacing w:before="30" w:after="50"/>
      </w:pPr>
      <w:r>
        <w:rPr>
          <w:rFonts w:ascii="Arial" w:cs="Arial" w:eastAsia="Arial" w:hAnsi="Arial"/>
          <w:color w:val="1A1A1A"/>
          <w:sz w:val="22"/>
          <w:szCs w:val="22"/>
        </w:rPr>
        <w:t xml:space="preserve">LLM generation uses structured JSON schema output — reduces token waste and eliminates post-generation parsing overhead.</w:t>
      </w:r>
    </w:p>
    <w:p>
      <w:pPr>
        <w:pStyle w:val="ListParagraph"/>
        <w:numPr>
          <w:ilvl w:val="0"/>
          <w:numId w:val="2"/>
        </w:numPr>
        <w:spacing w:before="30" w:after="50"/>
      </w:pPr>
      <w:r>
        <w:rPr>
          <w:rFonts w:ascii="Arial" w:cs="Arial" w:eastAsia="Arial" w:hAnsi="Arial"/>
          <w:color w:val="1A1A1A"/>
          <w:sz w:val="22"/>
          <w:szCs w:val="22"/>
        </w:rPr>
        <w:t xml:space="preserve">Validation engine runs rule checks in parallel using Python multiprocessing — the 8-check gate adds under 2 seconds to total processing time.</w:t>
      </w:r>
    </w:p>
    <w:p>
      <w:pPr>
        <w:pStyle w:val="ListParagraph"/>
        <w:numPr>
          <w:ilvl w:val="0"/>
          <w:numId w:val="2"/>
        </w:numPr>
        <w:spacing w:before="30" w:after="50"/>
      </w:pPr>
      <w:r>
        <w:rPr>
          <w:rFonts w:ascii="Arial" w:cs="Arial" w:eastAsia="Arial" w:hAnsi="Arial"/>
          <w:color w:val="1A1A1A"/>
          <w:sz w:val="22"/>
          <w:szCs w:val="22"/>
        </w:rPr>
        <w:t xml:space="preserve">Redis caching for frequently accessed enrichment data (customer risk profiles, static KYC attributes) reduces database round-trips by ~60% at steady state.</w:t>
      </w:r>
    </w:p>
    <w:p>
      <w:pPr>
        <w:spacing w:before="0" w:after="100"/>
      </w:pPr>
    </w:p>
    <w:p>
      <w:pPr>
        <w:pStyle w:val="Heading2"/>
        <w:spacing w:before="280" w:after="100"/>
      </w:pPr>
      <w:r>
        <w:rPr>
          <w:rFonts w:ascii="Arial" w:cs="Arial" w:eastAsia="Arial" w:hAnsi="Arial"/>
          <w:b/>
          <w:bCs/>
          <w:color w:val="1A4E8A"/>
          <w:sz w:val="26"/>
          <w:szCs w:val="26"/>
        </w:rPr>
        <w:t xml:space="preserve">6.3  Security Architecture</w:t>
      </w:r>
    </w:p>
    <w:p>
      <w:pPr>
        <w:spacing w:before="60" w:after="100"/>
        <w:jc w:val="both"/>
      </w:pPr>
      <w:r>
        <w:rPr>
          <w:rFonts w:ascii="Arial" w:cs="Arial" w:eastAsia="Arial" w:hAnsi="Arial"/>
          <w:color w:val="1A1A1A"/>
          <w:sz w:val="22"/>
          <w:szCs w:val="22"/>
        </w:rPr>
        <w:t xml:space="preserve">Defence-in-depth is implemented across five independent layers: network perimeter (TLS 1.3, API gateway, rate limiting), identity (JWT, RBAC, MFA), data (AES-256 at rest, field-level PII masking in audit logs), the architectural PII isolation boundary (Evidence Pack Builder), and the immutable audit compliance layer (append-only PostgreSQL JSONB, SIEM integration). No single layer failure compromises the complete security posture.</w:t>
      </w:r>
    </w:p>
    <w:p>
      <w:pPr>
        <w:spacing w:before="0" w:after="100"/>
      </w:pPr>
    </w:p>
    <w:p>
      <w:pPr>
        <w:pStyle w:val="Heading2"/>
        <w:spacing w:before="280" w:after="100"/>
      </w:pPr>
      <w:r>
        <w:rPr>
          <w:rFonts w:ascii="Arial" w:cs="Arial" w:eastAsia="Arial" w:hAnsi="Arial"/>
          <w:b/>
          <w:bCs/>
          <w:color w:val="1A4E8A"/>
          <w:sz w:val="26"/>
          <w:szCs w:val="26"/>
        </w:rPr>
        <w:t xml:space="preserve">6.4  Responsible AI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Control</w:t>
            </w:r>
          </w:p>
        </w:tc>
        <w:tc>
          <w:tcPr>
            <w:tcW w:type="dxa" w:w="67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Mechanism and Justification</w:t>
            </w:r>
          </w:p>
        </w:tc>
      </w:tr>
      <w:tr>
        <w:tc>
          <w:tcPr>
            <w:tcW w:type="dxa" w:w="2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Hallucination prevention</w:t>
            </w:r>
          </w:p>
        </w:tc>
        <w:tc>
          <w:tcPr>
            <w:tcW w:type="dxa" w:w="6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LLM receives only pre-validated evidence; temperature 0.3; post-generation fact-consistency validation gate</w:t>
            </w:r>
          </w:p>
        </w:tc>
      </w:tr>
      <w:tr>
        <w:tc>
          <w:tcPr>
            <w:tcW w:type="dxa" w:w="2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Bias prevention</w:t>
            </w:r>
          </w:p>
        </w:tc>
        <w:tc>
          <w:tcPr>
            <w:tcW w:type="dxa" w:w="6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Deterministic rule engine (not ML-learned); corpus bias review before inclusion; prohibited keyword scan on all outputs</w:t>
            </w:r>
          </w:p>
        </w:tc>
      </w:tr>
      <w:tr>
        <w:tc>
          <w:tcPr>
            <w:tcW w:type="dxa" w:w="2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Prompt injection protection</w:t>
            </w:r>
          </w:p>
        </w:tc>
        <w:tc>
          <w:tcPr>
            <w:tcW w:type="dxa" w:w="6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Jinja2 strict input sanitisation; no user-derived strings interpolated directly; system instructions immutable at runtime</w:t>
            </w:r>
          </w:p>
        </w:tc>
      </w:tr>
      <w:tr>
        <w:tc>
          <w:tcPr>
            <w:tcW w:type="dxa" w:w="2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PII leakage prevention</w:t>
            </w:r>
          </w:p>
        </w:tc>
        <w:tc>
          <w:tcPr>
            <w:tcW w:type="dxa" w:w="6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Architectural Decision/Narrative layer separation; Evidence Pack Builder enforces one-way lossy transformation</w:t>
            </w:r>
          </w:p>
        </w:tc>
      </w:tr>
      <w:tr>
        <w:tc>
          <w:tcPr>
            <w:tcW w:type="dxa" w:w="2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Model drift detection</w:t>
            </w:r>
          </w:p>
        </w:tc>
        <w:tc>
          <w:tcPr>
            <w:tcW w:type="dxa" w:w="6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5 tracked KPIs: validation failure rate, analyst edit frequency, rejection patterns, explainability score distribution, retrieval relevance</w:t>
            </w:r>
          </w:p>
        </w:tc>
      </w:tr>
      <w:tr>
        <w:tc>
          <w:tcPr>
            <w:tcW w:type="dxa" w:w="2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Corpus governance</w:t>
            </w:r>
          </w:p>
        </w:tc>
        <w:tc>
          <w:tcPr>
            <w:tcW w:type="dxa" w:w="6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All RAG corpus documents are approved, anonymised, version-controlled; snapshot IDs logged per retrieval for reproducibility</w:t>
            </w:r>
          </w:p>
        </w:tc>
      </w:tr>
    </w:tbl>
    <w:p>
      <w:pPr>
        <w:spacing w:before="0" w:after="100"/>
      </w:pPr>
    </w:p>
    <w:p>
      <w:pPr>
        <w:pStyle w:val="Heading2"/>
        <w:spacing w:before="280" w:after="100"/>
      </w:pPr>
      <w:r>
        <w:rPr>
          <w:rFonts w:ascii="Arial" w:cs="Arial" w:eastAsia="Arial" w:hAnsi="Arial"/>
          <w:b/>
          <w:bCs/>
          <w:color w:val="1A4E8A"/>
          <w:sz w:val="26"/>
          <w:szCs w:val="26"/>
        </w:rPr>
        <w:t xml:space="preserve">6.5  Evidence Block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1"/>
              <w:left w:val="single" w:color="2C5282" w:sz="1"/>
              <w:bottom w:val="single" w:color="2C5282" w:sz="1"/>
              <w:right w:val="single" w:color="2C5282" w:sz="1"/>
            </w:tcBorders>
            <w:shd w:fill="0D1B2A" w:val="clear"/>
            <w:tcMar>
              <w:top w:type="dxa" w:w="120"/>
              <w:left w:type="dxa" w:w="200"/>
              <w:bottom w:type="dxa" w:w="120"/>
              <w:right w:type="dxa" w:w="200"/>
            </w:tcMar>
          </w:tcPr>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"rule_id":          "AML-001",</w:t>
            </w:r>
          </w:p>
          <w:p>
            <w:pPr>
              <w:spacing w:before="0" w:after="0"/>
            </w:pPr>
            <w:r>
              <w:rPr>
                <w:rFonts w:ascii="Courier New" w:cs="Courier New" w:eastAsia="Courier New" w:hAnsi="Courier New"/>
                <w:color w:val="A8D8F0"/>
                <w:sz w:val="17"/>
                <w:szCs w:val="17"/>
              </w:rPr>
              <w:t xml:space="preserve">    "rule_name":        "Structuring — Sub-Threshold Aggregation",</w:t>
            </w:r>
          </w:p>
          <w:p>
            <w:pPr>
              <w:spacing w:before="0" w:after="0"/>
            </w:pPr>
            <w:r>
              <w:rPr>
                <w:rFonts w:ascii="Courier New" w:cs="Courier New" w:eastAsia="Courier New" w:hAnsi="Courier New"/>
                <w:color w:val="A8D8F0"/>
                <w:sz w:val="17"/>
                <w:szCs w:val="17"/>
              </w:rPr>
              <w:t xml:space="preserve">    "confidence_score": 0.82,</w:t>
            </w:r>
          </w:p>
          <w:p>
            <w:pPr>
              <w:spacing w:before="0" w:after="0"/>
            </w:pPr>
            <w:r>
              <w:rPr>
                <w:rFonts w:ascii="Courier New" w:cs="Courier New" w:eastAsia="Courier New" w:hAnsi="Courier New"/>
                <w:color w:val="A8D8F0"/>
                <w:sz w:val="17"/>
                <w:szCs w:val="17"/>
              </w:rPr>
              <w:t xml:space="preserve">    "evidence": [</w:t>
            </w:r>
          </w:p>
          <w:p>
            <w:pPr>
              <w:spacing w:before="0" w:after="0"/>
            </w:pPr>
            <w:r>
              <w:rPr>
                <w:rFonts w:ascii="Courier New" w:cs="Courier New" w:eastAsia="Courier New" w:hAnsi="Courier New"/>
                <w:color w:val="A8D8F0"/>
                <w:sz w:val="17"/>
                <w:szCs w:val="17"/>
              </w:rPr>
              <w:t xml:space="preserve">      "47 transactions in 7-day window  (alert threshold: 20)",</w:t>
            </w:r>
          </w:p>
          <w:p>
            <w:pPr>
              <w:spacing w:before="0" w:after="0"/>
            </w:pPr>
            <w:r>
              <w:rPr>
                <w:rFonts w:ascii="Courier New" w:cs="Courier New" w:eastAsia="Courier New" w:hAnsi="Courier New"/>
                <w:color w:val="A8D8F0"/>
                <w:sz w:val="17"/>
                <w:szCs w:val="17"/>
              </w:rPr>
              <w:t xml:space="preserve">      "Avg amount ₹95,000  (reporting threshold: ₹100,000)",</w:t>
            </w:r>
          </w:p>
          <w:p>
            <w:pPr>
              <w:spacing w:before="0" w:after="0"/>
            </w:pPr>
            <w:r>
              <w:rPr>
                <w:rFonts w:ascii="Courier New" w:cs="Courier New" w:eastAsia="Courier New" w:hAnsi="Courier New"/>
                <w:color w:val="A8D8F0"/>
                <w:sz w:val="17"/>
                <w:szCs w:val="17"/>
              </w:rPr>
              <w:t xml:space="preserve">      "47 unique counterparties — no repeat sources",</w:t>
            </w:r>
          </w:p>
          <w:p>
            <w:pPr>
              <w:spacing w:before="0" w:after="0"/>
            </w:pPr>
            <w:r>
              <w:rPr>
                <w:rFonts w:ascii="Courier New" w:cs="Courier New" w:eastAsia="Courier New" w:hAnsi="Courier New"/>
                <w:color w:val="A8D8F0"/>
                <w:sz w:val="17"/>
                <w:szCs w:val="17"/>
              </w:rPr>
              <w:t xml:space="preserve">      "Consolidated outflow within 4 hrs of final inbound receipt"</w:t>
            </w:r>
          </w:p>
          <w:p>
            <w:pPr>
              <w:spacing w:before="0" w:after="0"/>
            </w:pPr>
            <w:r>
              <w:rPr>
                <w:rFonts w:ascii="Courier New" w:cs="Courier New" w:eastAsia="Courier New" w:hAnsi="Courier New"/>
                <w:color w:val="A8D8F0"/>
                <w:sz w:val="17"/>
                <w:szCs w:val="17"/>
              </w:rPr>
              <w:t xml:space="preserve">    ],</w:t>
            </w:r>
          </w:p>
          <w:p>
            <w:pPr>
              <w:spacing w:before="0" w:after="0"/>
            </w:pPr>
            <w:r>
              <w:rPr>
                <w:rFonts w:ascii="Courier New" w:cs="Courier New" w:eastAsia="Courier New" w:hAnsi="Courier New"/>
                <w:color w:val="A8D8F0"/>
                <w:sz w:val="17"/>
                <w:szCs w:val="17"/>
              </w:rPr>
              <w:t xml:space="preserve">    "rule_version": "v2.3.1",</w:t>
            </w:r>
          </w:p>
          <w:p>
            <w:pPr>
              <w:spacing w:before="0" w:after="0"/>
            </w:pPr>
            <w:r>
              <w:rPr>
                <w:rFonts w:ascii="Courier New" w:cs="Courier New" w:eastAsia="Courier New" w:hAnsi="Courier New"/>
                <w:color w:val="A8D8F0"/>
                <w:sz w:val="17"/>
                <w:szCs w:val="17"/>
              </w:rPr>
              <w:t xml:space="preserve">    "triggered_at": "2026-03-10T14:32:07Z"</w:t>
            </w:r>
          </w:p>
          <w:p>
            <w:pPr>
              <w:spacing w:before="0" w:after="0"/>
            </w:pPr>
            <w:r>
              <w:rPr>
                <w:rFonts w:ascii="Courier New" w:cs="Courier New" w:eastAsia="Courier New" w:hAnsi="Courier New"/>
                <w:color w:val="A8D8F0"/>
                <w:sz w:val="17"/>
                <w:szCs w:val="17"/>
              </w:rPr>
              <w:t xml:space="preserve">  }</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7. Audit Trail &amp; Explainability</w:t>
      </w:r>
    </w:p>
    <w:p>
      <w:pPr>
        <w:spacing w:before="60" w:after="100"/>
        <w:jc w:val="both"/>
      </w:pPr>
      <w:r>
        <w:rPr>
          <w:rFonts w:ascii="Arial" w:cs="Arial" w:eastAsia="Arial" w:hAnsi="Arial"/>
          <w:color w:val="1A1A1A"/>
          <w:sz w:val="22"/>
          <w:szCs w:val="22"/>
        </w:rPr>
        <w:t xml:space="preserve">The audit trail is the system's primary mechanism of regulatory accountability. Every element is stored in PostgreSQL JSONB, encrypted at rest, written as an append-only record. No audit entry can be modified or deleted after creation.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Audit Record Element</w:t>
            </w:r>
          </w:p>
        </w:tc>
        <w:tc>
          <w:tcPr>
            <w:tcW w:type="dxa" w:w="59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Regulatory Purpose</w:t>
            </w:r>
          </w:p>
        </w:tc>
      </w:tr>
      <w:tr>
        <w:tc>
          <w:tcPr>
            <w:tcW w:type="dxa" w:w="3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Ingestion timestamp + masked alert data</w:t>
            </w:r>
          </w:p>
        </w:tc>
        <w:tc>
          <w:tcPr>
            <w:tcW w:type="dxa" w:w="59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Establishes event trigger and complete timeline provenance</w:t>
            </w:r>
          </w:p>
        </w:tc>
      </w:tr>
      <w:tr>
        <w:tc>
          <w:tcPr>
            <w:tcW w:type="dxa" w:w="3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Triggered rules + confidence scores + evidence blocks</w:t>
            </w:r>
          </w:p>
        </w:tc>
        <w:tc>
          <w:tcPr>
            <w:tcW w:type="dxa" w:w="59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Documents the complete deterministic compliance logic and its outputs</w:t>
            </w:r>
          </w:p>
        </w:tc>
      </w:tr>
      <w:tr>
        <w:tc>
          <w:tcPr>
            <w:tcW w:type="dxa" w:w="3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Retrieved doc IDs + similarity scores + corpus snapshot ID</w:t>
            </w:r>
          </w:p>
        </w:tc>
        <w:tc>
          <w:tcPr>
            <w:tcW w:type="dxa" w:w="59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Enables exact retrieval reproduction at any future date for replay</w:t>
            </w:r>
          </w:p>
        </w:tc>
      </w:tr>
      <w:tr>
        <w:tc>
          <w:tcPr>
            <w:tcW w:type="dxa" w:w="3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Prompt template version + SHA hash</w:t>
            </w:r>
          </w:p>
        </w:tc>
        <w:tc>
          <w:tcPr>
            <w:tcW w:type="dxa" w:w="59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Guarantees prompt construction is precisely verifiable and reproducible</w:t>
            </w:r>
          </w:p>
        </w:tc>
      </w:tr>
      <w:tr>
        <w:tc>
          <w:tcPr>
            <w:tcW w:type="dxa" w:w="3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Model name, version, inference parameters</w:t>
            </w:r>
          </w:p>
        </w:tc>
        <w:tc>
          <w:tcPr>
            <w:tcW w:type="dxa" w:w="59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Satisfies SR 11-7 / CP 6/22 model governance reproducibility requirements</w:t>
            </w:r>
          </w:p>
        </w:tc>
      </w:tr>
      <w:tr>
        <w:tc>
          <w:tcPr>
            <w:tcW w:type="dxa" w:w="3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Raw LLM JSON output (pre-processing snapshot)</w:t>
            </w:r>
          </w:p>
        </w:tc>
        <w:tc>
          <w:tcPr>
            <w:tcW w:type="dxa" w:w="59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Distinguishes AI-generated content from post-processing and analyst edits</w:t>
            </w:r>
          </w:p>
        </w:tc>
      </w:tr>
      <w:tr>
        <w:tc>
          <w:tcPr>
            <w:tcW w:type="dxa" w:w="3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Analyst edits — section-level diffs with ID and timestamp</w:t>
            </w:r>
          </w:p>
        </w:tc>
        <w:tc>
          <w:tcPr>
            <w:tcW w:type="dxa" w:w="59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Precisely documents all human modifications for accountability and AI/human distinction</w:t>
            </w:r>
          </w:p>
        </w:tc>
      </w:tr>
      <w:tr>
        <w:tc>
          <w:tcPr>
            <w:tcW w:type="dxa" w:w="3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Approval decision + mandatory structured comment</w:t>
            </w:r>
          </w:p>
        </w:tc>
        <w:tc>
          <w:tcPr>
            <w:tcW w:type="dxa" w:w="59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Definitive record of human judgment; no approval possible without this entry</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4E8A" w:sz="1"/>
              <w:left w:val="single" w:color="1A4E8A" w:sz="1"/>
              <w:bottom w:val="single" w:color="1A4E8A" w:sz="1"/>
              <w:right w:val="single" w:color="1A4E8A" w:sz="1"/>
            </w:tcBorders>
            <w:shd w:fill="1A4E8A"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REPLAY CAPABILITY</w:t>
            </w:r>
          </w:p>
        </w:tc>
        <w:tc>
          <w:tcPr>
            <w:tcW w:type="dxa" w:w="8160"/>
            <w:tcBorders>
              <w:top w:val="single" w:color="1A4E8A" w:sz="1"/>
              <w:left w:val="single" w:color="1A4E8A" w:sz="1"/>
              <w:bottom w:val="single" w:color="1A4E8A" w:sz="1"/>
              <w:right w:val="single" w:color="1A4E8A" w:sz="1"/>
            </w:tcBorders>
            <w:shd w:fill="EBF4FB" w:val="clear"/>
            <w:tcMar>
              <w:top w:type="dxa" w:w="90"/>
              <w:left w:type="dxa" w:w="160"/>
              <w:bottom w:type="dxa" w:w="90"/>
              <w:right w:type="dxa" w:w="160"/>
            </w:tcMar>
          </w:tcPr>
          <w:p>
            <w:r>
              <w:rPr>
                <w:rFonts w:ascii="Arial" w:cs="Arial" w:eastAsia="Arial" w:hAnsi="Arial"/>
                <w:i/>
                <w:iCs/>
                <w:color w:val="0A1F3D"/>
                <w:sz w:val="20"/>
                <w:szCs w:val="20"/>
              </w:rPr>
              <w:t xml:space="preserve">Given any Case ID, the system restores the original evidence pack, loads the SHA-pinned prompt template, applies the stored model configuration, and regenerates the draft. Replay output is automatically compared to original; divergence triggers a model risk alert. Regulators can examine the complete reasoning chain for any filed SAR at any point in the future.</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8. Human Analyst Workflow</w:t>
      </w:r>
    </w:p>
    <w:p>
      <w:pPr>
        <w:spacing w:before="60" w:after="100"/>
        <w:jc w:val="both"/>
      </w:pPr>
      <w:r>
        <w:rPr>
          <w:rFonts w:ascii="Arial" w:cs="Arial" w:eastAsia="Arial" w:hAnsi="Arial"/>
          <w:color w:val="1A1A1A"/>
          <w:sz w:val="22"/>
          <w:szCs w:val="22"/>
        </w:rPr>
        <w:t xml:space="preserve">The analyst is not a rubber stamp. They are the accountable authority over every submission. The system eliminates evidence assembly and first-draft composition, directing analyst cognitive capacity to investigation quality, contextual interpretation, and regulatory judgment. No submission pathway exists without explicit analyst approval.</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c>
          <w:tcPr>
            <w:tcW w:type="dxa" w:w="11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Step</w:t>
            </w:r>
          </w:p>
        </w:tc>
        <w:tc>
          <w:tcPr>
            <w:tcW w:type="dxa" w:w="27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Analyst Action</w:t>
            </w:r>
          </w:p>
        </w:tc>
        <w:tc>
          <w:tcPr>
            <w:tcW w:type="dxa" w:w="55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System Support</w:t>
            </w:r>
          </w:p>
        </w:tc>
      </w:tr>
      <w:tr>
        <w:tc>
          <w:tcPr>
            <w:tcW w:type="dxa" w:w="11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①</w:t>
            </w:r>
          </w:p>
        </w:tc>
        <w:tc>
          <w:tcPr>
            <w:tcW w:type="dxa" w:w="27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Case assignment</w:t>
            </w:r>
          </w:p>
        </w:tc>
        <w:tc>
          <w:tcPr>
            <w:tcW w:type="dxa" w:w="5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Risk-scored dashboard surfaces highest-priority cases first; SLA timer active</w:t>
            </w:r>
          </w:p>
        </w:tc>
      </w:tr>
      <w:tr>
        <w:tc>
          <w:tcPr>
            <w:tcW w:type="dxa" w:w="11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②</w:t>
            </w:r>
          </w:p>
        </w:tc>
        <w:tc>
          <w:tcPr>
            <w:tcW w:type="dxa" w:w="27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Evidence review</w:t>
            </w:r>
          </w:p>
        </w:tc>
        <w:tc>
          <w:tcPr>
            <w:tcW w:type="dxa" w:w="55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Evidence panel displays rule triggers, confidence scores, and source indicators side-by-side with draft</w:t>
            </w:r>
          </w:p>
        </w:tc>
      </w:tr>
      <w:tr>
        <w:tc>
          <w:tcPr>
            <w:tcW w:type="dxa" w:w="11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③</w:t>
            </w:r>
          </w:p>
        </w:tc>
        <w:tc>
          <w:tcPr>
            <w:tcW w:type="dxa" w:w="27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Narrative review and edit</w:t>
            </w:r>
          </w:p>
        </w:tc>
        <w:tc>
          <w:tcPr>
            <w:tcW w:type="dxa" w:w="5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Track-changes editor; flagged sentences highlighted with explainability score; section-level structure preserved</w:t>
            </w:r>
          </w:p>
        </w:tc>
      </w:tr>
      <w:tr>
        <w:tc>
          <w:tcPr>
            <w:tcW w:type="dxa" w:w="11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④</w:t>
            </w:r>
          </w:p>
        </w:tc>
        <w:tc>
          <w:tcPr>
            <w:tcW w:type="dxa" w:w="27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Source verification</w:t>
            </w:r>
          </w:p>
        </w:tc>
        <w:tc>
          <w:tcPr>
            <w:tcW w:type="dxa" w:w="55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Masked source data viewer allows evidence verification without exposing PII in the UI layer</w:t>
            </w:r>
          </w:p>
        </w:tc>
      </w:tr>
      <w:tr>
        <w:tc>
          <w:tcPr>
            <w:tcW w:type="dxa" w:w="11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⑤</w:t>
            </w:r>
          </w:p>
        </w:tc>
        <w:tc>
          <w:tcPr>
            <w:tcW w:type="dxa" w:w="27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Approve or reject</w:t>
            </w:r>
          </w:p>
        </w:tc>
        <w:tc>
          <w:tcPr>
            <w:tcW w:type="dxa" w:w="5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Mandatory structured comment required for both decisions; comment captured immutably in audit log</w:t>
            </w:r>
          </w:p>
        </w:tc>
      </w:tr>
      <w:tr>
        <w:tc>
          <w:tcPr>
            <w:tcW w:type="dxa" w:w="11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⑥</w:t>
            </w:r>
          </w:p>
        </w:tc>
        <w:tc>
          <w:tcPr>
            <w:tcW w:type="dxa" w:w="27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Export trigger</w:t>
            </w:r>
          </w:p>
        </w:tc>
        <w:tc>
          <w:tcPr>
            <w:tcW w:type="dxa" w:w="55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Orchestrator initiates export to Case Management System; success/failure event logged; audit record sealed</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9. Performance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200"/>
        <w:gridCol w:w="1660"/>
      </w:tblGrid>
      <w:tr>
        <w:tc>
          <w:tcPr>
            <w:tcW w:type="dxa" w:w="36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Metric</w:t>
            </w:r>
          </w:p>
        </w:tc>
        <w:tc>
          <w:tcPr>
            <w:tcW w:type="dxa" w:w="19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Baseline (Manual)</w:t>
            </w:r>
          </w:p>
        </w:tc>
        <w:tc>
          <w:tcPr>
            <w:tcW w:type="dxa" w:w="22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With This System</w:t>
            </w:r>
          </w:p>
        </w:tc>
        <w:tc>
          <w:tcPr>
            <w:tcW w:type="dxa" w:w="16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Impact</w:t>
            </w:r>
          </w:p>
        </w:tc>
      </w:tr>
      <w:tr>
        <w:tc>
          <w:tcPr>
            <w:tcW w:type="dxa" w:w="3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Analyst effort per SAR</w:t>
            </w:r>
          </w:p>
        </w:tc>
        <w:tc>
          <w:tcPr>
            <w:tcW w:type="dxa" w:w="19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5–6 hours</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60–90 minutes</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 ~75%</w:t>
            </w:r>
          </w:p>
        </w:tc>
      </w:tr>
      <w:tr>
        <w:tc>
          <w:tcPr>
            <w:tcW w:type="dxa" w:w="3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Automated draft generation time</w:t>
            </w:r>
          </w:p>
        </w:tc>
        <w:tc>
          <w:tcPr>
            <w:tcW w:type="dxa" w:w="19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N/A</w:t>
            </w:r>
          </w:p>
        </w:tc>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&lt; 3 minutes</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New cap.</w:t>
            </w:r>
          </w:p>
        </w:tc>
      </w:tr>
      <w:tr>
        <w:tc>
          <w:tcPr>
            <w:tcW w:type="dxa" w:w="3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Evidence-to-text accuracy</w:t>
            </w:r>
          </w:p>
        </w:tc>
        <w:tc>
          <w:tcPr>
            <w:tcW w:type="dxa" w:w="19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Analyst-variable</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~92% validated</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Consistent</w:t>
            </w:r>
          </w:p>
        </w:tc>
      </w:tr>
      <w:tr>
        <w:tc>
          <w:tcPr>
            <w:tcW w:type="dxa" w:w="3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Schema validation pass rate (first pass)</w:t>
            </w:r>
          </w:p>
        </w:tc>
        <w:tc>
          <w:tcPr>
            <w:tcW w:type="dxa" w:w="19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N/A</w:t>
            </w:r>
          </w:p>
        </w:tc>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~95%</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High</w:t>
            </w:r>
          </w:p>
        </w:tc>
      </w:tr>
      <w:tr>
        <w:tc>
          <w:tcPr>
            <w:tcW w:type="dxa" w:w="3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Audit trail completeness</w:t>
            </w:r>
          </w:p>
        </w:tc>
        <w:tc>
          <w:tcPr>
            <w:tcW w:type="dxa" w:w="19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Partial / manual</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100% automated</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Complete</w:t>
            </w:r>
          </w:p>
        </w:tc>
      </w:tr>
      <w:tr>
        <w:tc>
          <w:tcPr>
            <w:tcW w:type="dxa" w:w="3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Narrative consistency across analysts</w:t>
            </w:r>
          </w:p>
        </w:tc>
        <w:tc>
          <w:tcPr>
            <w:tcW w:type="dxa" w:w="19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High variance</w:t>
            </w:r>
          </w:p>
        </w:tc>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Schema-enforced</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 Significant</w:t>
            </w:r>
          </w:p>
        </w:tc>
      </w:tr>
      <w:tr>
        <w:tc>
          <w:tcPr>
            <w:tcW w:type="dxa" w:w="36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Regulatory query response time</w:t>
            </w:r>
          </w:p>
        </w:tc>
        <w:tc>
          <w:tcPr>
            <w:tcW w:type="dxa" w:w="19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Hours–Days</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Minutes (replay)</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Near-instant</w:t>
            </w:r>
          </w:p>
        </w:tc>
      </w:tr>
      <w:tr>
        <w:tc>
          <w:tcPr>
            <w:tcW w:type="dxa" w:w="36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SAR backlog reduction (10K/yr institution)</w:t>
            </w:r>
          </w:p>
        </w:tc>
        <w:tc>
          <w:tcPr>
            <w:tcW w:type="dxa" w:w="19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Baseline</w:t>
            </w:r>
          </w:p>
        </w:tc>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Est. 40–50%</w:t>
            </w:r>
          </w:p>
        </w:tc>
        <w:tc>
          <w:tcPr>
            <w:tcW w:type="dxa" w:w="16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b/>
                <w:bCs/>
                <w:color w:val="1A6B3C"/>
                <w:sz w:val="20"/>
                <w:szCs w:val="20"/>
              </w:rPr>
              <w:t xml:space="preserve">↓ Significant</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10. Business Value</w:t>
      </w:r>
    </w:p>
    <w:p>
      <w:pPr>
        <w:pStyle w:val="Heading2"/>
        <w:spacing w:before="280" w:after="100"/>
      </w:pPr>
      <w:r>
        <w:rPr>
          <w:rFonts w:ascii="Arial" w:cs="Arial" w:eastAsia="Arial" w:hAnsi="Arial"/>
          <w:b/>
          <w:bCs/>
          <w:color w:val="1A4E8A"/>
          <w:sz w:val="26"/>
          <w:szCs w:val="26"/>
        </w:rPr>
        <w:t xml:space="preserve">10.1  Cost Model — Mid-Size UK Institution (10,000 SARs / Year)</w:t>
      </w:r>
    </w:p>
    <w:p>
      <w:pPr>
        <w:spacing w:before="60" w:after="100"/>
        <w:jc w:val="both"/>
      </w:pPr>
      <w:r>
        <w:rPr>
          <w:rFonts w:ascii="Arial" w:cs="Arial" w:eastAsia="Arial" w:hAnsi="Arial"/>
          <w:color w:val="1A1A1A"/>
          <w:sz w:val="22"/>
          <w:szCs w:val="22"/>
        </w:rPr>
        <w:t xml:space="preserve">Assumptions: blended analyst cost £80,000/yr (£40/hr); average 5.5 hrs/SAR currently; 75% effort reduction achievable with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c>
          <w:tcPr>
            <w:tcW w:type="dxa" w:w="44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Cost Component</w:t>
            </w:r>
          </w:p>
        </w:tc>
        <w:tc>
          <w:tcPr>
            <w:tcW w:type="dxa" w:w="248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Current Annual (£)</w:t>
            </w:r>
          </w:p>
        </w:tc>
        <w:tc>
          <w:tcPr>
            <w:tcW w:type="dxa" w:w="248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With System (£ est.)</w:t>
            </w:r>
          </w:p>
        </w:tc>
      </w:tr>
      <w:tr>
        <w:tc>
          <w:tcPr>
            <w:tcW w:type="dxa" w:w="4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Analyst drafting  (10,000 × 5.5 hrs × £40)</w:t>
            </w:r>
          </w:p>
        </w:tc>
        <w:tc>
          <w:tcPr>
            <w:tcW w:type="dxa" w:w="2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2,200,000</w:t>
            </w:r>
          </w:p>
        </w:tc>
        <w:tc>
          <w:tcPr>
            <w:tcW w:type="dxa" w:w="2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550,000</w:t>
            </w:r>
          </w:p>
        </w:tc>
      </w:tr>
      <w:tr>
        <w:tc>
          <w:tcPr>
            <w:tcW w:type="dxa" w:w="4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Regulatory query response + audit assembly</w:t>
            </w:r>
          </w:p>
        </w:tc>
        <w:tc>
          <w:tcPr>
            <w:tcW w:type="dxa" w:w="2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300,000</w:t>
            </w:r>
          </w:p>
        </w:tc>
        <w:tc>
          <w:tcPr>
            <w:tcW w:type="dxa" w:w="2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50,000</w:t>
            </w:r>
          </w:p>
        </w:tc>
      </w:tr>
      <w:tr>
        <w:tc>
          <w:tcPr>
            <w:tcW w:type="dxa" w:w="44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SAR rejection and resubmission</w:t>
            </w:r>
          </w:p>
        </w:tc>
        <w:tc>
          <w:tcPr>
            <w:tcW w:type="dxa" w:w="2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150,000</w:t>
            </w:r>
          </w:p>
        </w:tc>
        <w:tc>
          <w:tcPr>
            <w:tcW w:type="dxa" w:w="2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30,000</w:t>
            </w:r>
          </w:p>
        </w:tc>
      </w:tr>
      <w:tr>
        <w:tc>
          <w:tcPr>
            <w:tcW w:type="dxa" w:w="44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System infrastructure + maintenance</w:t>
            </w:r>
          </w:p>
        </w:tc>
        <w:tc>
          <w:tcPr>
            <w:tcW w:type="dxa" w:w="2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w:t>
            </w:r>
          </w:p>
        </w:tc>
        <w:tc>
          <w:tcPr>
            <w:tcW w:type="dxa" w:w="2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200,000</w:t>
            </w:r>
          </w:p>
        </w:tc>
      </w:tr>
      <w:tr>
        <w:tc>
          <w:tcPr>
            <w:tcW w:type="dxa" w:w="4400"/>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r>
              <w:rPr>
                <w:rFonts w:ascii="Arial" w:cs="Arial" w:eastAsia="Arial" w:hAnsi="Arial"/>
                <w:b/>
                <w:bCs/>
                <w:color w:val="FFFFFF"/>
                <w:sz w:val="22"/>
                <w:szCs w:val="22"/>
              </w:rPr>
              <w:t xml:space="preserve">NET ESTIMATED ANNUAL SAVING</w:t>
            </w:r>
          </w:p>
        </w:tc>
        <w:tc>
          <w:tcPr>
            <w:tcW w:type="dxa" w:w="2480"/>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r>
              <w:rPr>
                <w:rFonts w:ascii="Arial" w:cs="Arial" w:eastAsia="Arial" w:hAnsi="Arial"/>
                <w:b/>
                <w:bCs/>
                <w:color w:val="00AEEF"/>
                <w:sz w:val="22"/>
                <w:szCs w:val="22"/>
              </w:rPr>
              <w:t xml:space="preserve">£2,650,000</w:t>
            </w:r>
          </w:p>
        </w:tc>
        <w:tc>
          <w:tcPr>
            <w:tcW w:type="dxa" w:w="2480"/>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r>
              <w:rPr>
                <w:rFonts w:ascii="Arial" w:cs="Arial" w:eastAsia="Arial" w:hAnsi="Arial"/>
                <w:b/>
                <w:bCs/>
                <w:color w:val="00AEEF"/>
                <w:sz w:val="22"/>
                <w:szCs w:val="22"/>
              </w:rPr>
              <w:t xml:space="preserve">~£1,820,000</w:t>
            </w:r>
          </w:p>
        </w:tc>
      </w:tr>
    </w:tbl>
    <w:p>
      <w:pPr>
        <w:spacing w:before="0" w:after="100"/>
      </w:pPr>
    </w:p>
    <w:p>
      <w:pPr>
        <w:pStyle w:val="Heading2"/>
        <w:spacing w:before="280" w:after="100"/>
      </w:pPr>
      <w:r>
        <w:rPr>
          <w:rFonts w:ascii="Arial" w:cs="Arial" w:eastAsia="Arial" w:hAnsi="Arial"/>
          <w:b/>
          <w:bCs/>
          <w:color w:val="1A4E8A"/>
          <w:sz w:val="26"/>
          <w:szCs w:val="26"/>
        </w:rPr>
        <w:t xml:space="preserve">10.2  Non-Financial Value</w:t>
      </w:r>
    </w:p>
    <w:p>
      <w:pPr>
        <w:pStyle w:val="ListParagraph"/>
        <w:numPr>
          <w:ilvl w:val="0"/>
          <w:numId w:val="2"/>
        </w:numPr>
        <w:spacing w:before="30" w:after="50"/>
      </w:pPr>
      <w:r>
        <w:rPr>
          <w:rFonts w:ascii="Arial" w:cs="Arial" w:eastAsia="Arial" w:hAnsi="Arial"/>
          <w:color w:val="1A1A1A"/>
          <w:sz w:val="22"/>
          <w:szCs w:val="22"/>
        </w:rPr>
        <w:t xml:space="preserve">Regulatory relationship quality: consistently structured, evidence-grounded SARs improve the quality of financial intelligence available to law enforcement.</w:t>
      </w:r>
    </w:p>
    <w:p>
      <w:pPr>
        <w:pStyle w:val="ListParagraph"/>
        <w:numPr>
          <w:ilvl w:val="0"/>
          <w:numId w:val="2"/>
        </w:numPr>
        <w:spacing w:before="30" w:after="50"/>
      </w:pPr>
      <w:r>
        <w:rPr>
          <w:rFonts w:ascii="Arial" w:cs="Arial" w:eastAsia="Arial" w:hAnsi="Arial"/>
          <w:color w:val="1A1A1A"/>
          <w:sz w:val="22"/>
          <w:szCs w:val="22"/>
        </w:rPr>
        <w:t xml:space="preserve">Analyst retention: eliminating repetitive documentation burden improves job quality in a skills-scarce compliance talent market.</w:t>
      </w:r>
    </w:p>
    <w:p>
      <w:pPr>
        <w:pStyle w:val="ListParagraph"/>
        <w:numPr>
          <w:ilvl w:val="0"/>
          <w:numId w:val="2"/>
        </w:numPr>
        <w:spacing w:before="30" w:after="50"/>
      </w:pPr>
      <w:r>
        <w:rPr>
          <w:rFonts w:ascii="Arial" w:cs="Arial" w:eastAsia="Arial" w:hAnsi="Arial"/>
          <w:color w:val="1A1A1A"/>
          <w:sz w:val="22"/>
          <w:szCs w:val="22"/>
        </w:rPr>
        <w:t xml:space="preserve">Enforcement risk reduction: the probability of regulatory action resulting from inadequate SAR documentation is materially reduced.</w:t>
      </w:r>
    </w:p>
    <w:p>
      <w:pPr>
        <w:pStyle w:val="ListParagraph"/>
        <w:numPr>
          <w:ilvl w:val="0"/>
          <w:numId w:val="2"/>
        </w:numPr>
        <w:spacing w:before="30" w:after="50"/>
      </w:pPr>
      <w:r>
        <w:rPr>
          <w:rFonts w:ascii="Arial" w:cs="Arial" w:eastAsia="Arial" w:hAnsi="Arial"/>
          <w:color w:val="1A1A1A"/>
          <w:sz w:val="22"/>
          <w:szCs w:val="22"/>
        </w:rPr>
        <w:t xml:space="preserve">AI governance leadership: institutions demonstrating mature, explainable AI compliance gain competitive advantage in regulatory and investor relations.</w:t>
      </w:r>
    </w:p>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11. Risk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760"/>
        <w:gridCol w:w="1800"/>
      </w:tblGrid>
      <w:tr>
        <w:tc>
          <w:tcPr>
            <w:tcW w:type="dxa" w:w="22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Risk</w:t>
            </w:r>
          </w:p>
        </w:tc>
        <w:tc>
          <w:tcPr>
            <w:tcW w:type="dxa" w:w="16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Severity</w:t>
            </w:r>
          </w:p>
        </w:tc>
        <w:tc>
          <w:tcPr>
            <w:tcW w:type="dxa" w:w="37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Mitigation</w:t>
            </w:r>
          </w:p>
        </w:tc>
        <w:tc>
          <w:tcPr>
            <w:tcW w:type="dxa" w:w="18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Residual Risk</w:t>
            </w:r>
          </w:p>
        </w:tc>
      </w:tr>
      <w:tr>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LLM hallucination in narrative</w:t>
            </w:r>
          </w:p>
        </w:tc>
        <w:tc>
          <w:tcPr>
            <w:tcW w:type="dxa" w:w="160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HIGH</w:t>
            </w:r>
          </w:p>
        </w:tc>
        <w:tc>
          <w:tcPr>
            <w:tcW w:type="dxa" w:w="3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Evidence-bounded input; temp 0.3; 8-check post-generation validation; explainability scoring; mandatory analyst review</w:t>
            </w:r>
          </w:p>
        </w:tc>
        <w:tc>
          <w:tcPr>
            <w:tcW w:type="dxa" w:w="18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color w:val="1A6B3C"/>
                <w:sz w:val="20"/>
                <w:szCs w:val="20"/>
              </w:rPr>
              <w:t xml:space="preserve">LOW — multi-layer defence</w:t>
            </w:r>
          </w:p>
        </w:tc>
      </w:tr>
      <w:tr>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PII leakage to LLM</w:t>
            </w:r>
          </w:p>
        </w:tc>
        <w:tc>
          <w:tcPr>
            <w:tcW w:type="dxa" w:w="160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HIGH</w:t>
            </w:r>
          </w:p>
        </w:tc>
        <w:tc>
          <w:tcPr>
            <w:tcW w:type="dxa" w:w="3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Architectural isolation in Evidence Pack Builder — not a config setting; lossy one-way transformation enforced by design</w:t>
            </w:r>
          </w:p>
        </w:tc>
        <w:tc>
          <w:tcPr>
            <w:tcW w:type="dxa" w:w="18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color w:val="1A6B3C"/>
                <w:sz w:val="20"/>
                <w:szCs w:val="20"/>
              </w:rPr>
              <w:t xml:space="preserve">VERY LOW — by architecture</w:t>
            </w:r>
          </w:p>
        </w:tc>
      </w:tr>
      <w:tr>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AML rule gaps (novel typologies)</w:t>
            </w:r>
          </w:p>
        </w:tc>
        <w:tc>
          <w:tcPr>
            <w:tcW w:type="dxa" w:w="160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MEDIUM</w:t>
            </w:r>
          </w:p>
        </w:tc>
        <w:tc>
          <w:tcPr>
            <w:tcW w:type="dxa" w:w="3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Git-versioned rule library with governed update process; analyst rejection feedback loop; typology drift monitoring</w:t>
            </w:r>
          </w:p>
        </w:tc>
        <w:tc>
          <w:tcPr>
            <w:tcW w:type="dxa" w:w="180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left"/>
            </w:pPr>
            <w:r>
              <w:rPr>
                <w:rFonts w:ascii="Arial" w:cs="Arial" w:eastAsia="Arial" w:hAnsi="Arial"/>
                <w:color w:val="8B5E00"/>
                <w:sz w:val="20"/>
                <w:szCs w:val="20"/>
              </w:rPr>
              <w:t xml:space="preserve">MEDIUM — process dependent</w:t>
            </w:r>
          </w:p>
        </w:tc>
      </w:tr>
      <w:tr>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Model drift over time</w:t>
            </w:r>
          </w:p>
        </w:tc>
        <w:tc>
          <w:tcPr>
            <w:tcW w:type="dxa" w:w="160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MEDIUM</w:t>
            </w:r>
          </w:p>
        </w:tc>
        <w:tc>
          <w:tcPr>
            <w:tcW w:type="dxa" w:w="3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5 continuous KPI monitors; validation failure rate threshold alerts; monthly corpus and prompt review cadence</w:t>
            </w:r>
          </w:p>
        </w:tc>
        <w:tc>
          <w:tcPr>
            <w:tcW w:type="dxa" w:w="18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color w:val="1A6B3C"/>
                <w:sz w:val="20"/>
                <w:szCs w:val="20"/>
              </w:rPr>
              <w:t xml:space="preserve">LOW — monitored</w:t>
            </w:r>
          </w:p>
        </w:tc>
      </w:tr>
      <w:tr>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Corpus quality degradation</w:t>
            </w:r>
          </w:p>
        </w:tc>
        <w:tc>
          <w:tcPr>
            <w:tcW w:type="dxa" w:w="160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MEDIUM</w:t>
            </w:r>
          </w:p>
        </w:tc>
        <w:tc>
          <w:tcPr>
            <w:tcW w:type="dxa" w:w="3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Version-controlled corpus; snapshot IDs logged per retrieval; retrieval relevance score tracked over time</w:t>
            </w:r>
          </w:p>
        </w:tc>
        <w:tc>
          <w:tcPr>
            <w:tcW w:type="dxa" w:w="18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color w:val="1A6B3C"/>
                <w:sz w:val="20"/>
                <w:szCs w:val="20"/>
              </w:rPr>
              <w:t xml:space="preserve">LOW — monitored</w:t>
            </w:r>
          </w:p>
        </w:tc>
      </w:tr>
      <w:tr>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LLM inference unavailability</w:t>
            </w:r>
          </w:p>
        </w:tc>
        <w:tc>
          <w:tcPr>
            <w:tcW w:type="dxa" w:w="16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LOW</w:t>
            </w:r>
          </w:p>
        </w:tc>
        <w:tc>
          <w:tcPr>
            <w:tcW w:type="dxa" w:w="3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Max 2 regeneration retries with timeout; circuit breaker; cases escalated to manual drafting with evidence pack pre-populated</w:t>
            </w:r>
          </w:p>
        </w:tc>
        <w:tc>
          <w:tcPr>
            <w:tcW w:type="dxa" w:w="18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color w:val="1A6B3C"/>
                <w:sz w:val="20"/>
                <w:szCs w:val="20"/>
              </w:rPr>
              <w:t xml:space="preserve">VERY LOW</w:t>
            </w:r>
          </w:p>
        </w:tc>
      </w:tr>
      <w:tr>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Audit log integrity breach</w:t>
            </w:r>
          </w:p>
        </w:tc>
        <w:tc>
          <w:tcPr>
            <w:tcW w:type="dxa" w:w="160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HIGH</w:t>
            </w:r>
          </w:p>
        </w:tc>
        <w:tc>
          <w:tcPr>
            <w:tcW w:type="dxa" w:w="3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Append-only PostgreSQL design; AES-256 encryption at rest; no delete permissions at application layer; SIEM integration</w:t>
            </w:r>
          </w:p>
        </w:tc>
        <w:tc>
          <w:tcPr>
            <w:tcW w:type="dxa" w:w="18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color w:val="1A6B3C"/>
                <w:sz w:val="20"/>
                <w:szCs w:val="20"/>
              </w:rPr>
              <w:t xml:space="preserve">VERY LOW — by design</w:t>
            </w:r>
          </w:p>
        </w:tc>
      </w:tr>
      <w:tr>
        <w:tc>
          <w:tcPr>
            <w:tcW w:type="dxa" w:w="22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Prompt injection attack</w:t>
            </w:r>
          </w:p>
        </w:tc>
        <w:tc>
          <w:tcPr>
            <w:tcW w:type="dxa" w:w="160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MEDIUM</w:t>
            </w:r>
          </w:p>
        </w:tc>
        <w:tc>
          <w:tcPr>
            <w:tcW w:type="dxa" w:w="3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Jinja2 strict input sanitisation; system instructions immutable at runtime; all injection attempts logged as security events</w:t>
            </w:r>
          </w:p>
        </w:tc>
        <w:tc>
          <w:tcPr>
            <w:tcW w:type="dxa" w:w="180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left"/>
            </w:pPr>
            <w:r>
              <w:rPr>
                <w:rFonts w:ascii="Arial" w:cs="Arial" w:eastAsia="Arial" w:hAnsi="Arial"/>
                <w:color w:val="1A6B3C"/>
                <w:sz w:val="20"/>
                <w:szCs w:val="20"/>
              </w:rPr>
              <w:t xml:space="preserve">LOW — sanitised</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12.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2280"/>
        <w:gridCol w:w="2160"/>
      </w:tblGrid>
      <w:tr>
        <w:tc>
          <w:tcPr>
            <w:tcW w:type="dxa" w:w="18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Model</w:t>
            </w:r>
          </w:p>
        </w:tc>
        <w:tc>
          <w:tcPr>
            <w:tcW w:type="dxa" w:w="312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Architecture</w:t>
            </w:r>
          </w:p>
        </w:tc>
        <w:tc>
          <w:tcPr>
            <w:tcW w:type="dxa" w:w="228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Best For</w:t>
            </w:r>
          </w:p>
        </w:tc>
        <w:tc>
          <w:tcPr>
            <w:tcW w:type="dxa" w:w="21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Key Trade-Off</w:t>
            </w:r>
          </w:p>
        </w:tc>
      </w:tr>
      <w:tr>
        <w:tc>
          <w:tcPr>
            <w:tcW w:type="dxa" w:w="1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On-Premises
(Air-Gapped)</w:t>
            </w:r>
          </w:p>
        </w:tc>
        <w:tc>
          <w:tcPr>
            <w:tcW w:type="dxa" w:w="31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Full local stack: Ollama for LLM inference, self-hosted PostgreSQL and ChromaDB, Docker Compose</w:t>
            </w:r>
          </w:p>
        </w:tc>
        <w:tc>
          <w:tcPr>
            <w:tcW w:type="dxa" w:w="22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Strict data residency requirements; regulatory mandates prohibiting cloud processing</w:t>
            </w:r>
          </w:p>
        </w:tc>
        <w:tc>
          <w:tcPr>
            <w:tcW w:type="dxa" w:w="2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Higher infra cost; manual scaling; no managed services</w:t>
            </w:r>
          </w:p>
        </w:tc>
      </w:tr>
      <w:tr>
        <w:tc>
          <w:tcPr>
            <w:tcW w:type="dxa" w:w="18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Private Cloud
(AWS / Azure / GCP)</w:t>
            </w:r>
          </w:p>
        </w:tc>
        <w:tc>
          <w:tcPr>
            <w:tcW w:type="dxa" w:w="31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Kubernetes HPA; dedicated GPU instances for vLLM; managed PostgreSQL, Redis, and object storage</w:t>
            </w:r>
          </w:p>
        </w:tc>
        <w:tc>
          <w:tcPr>
            <w:tcW w:type="dxa" w:w="22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Institutions requiring elasticity and managed operational overhead</w:t>
            </w:r>
          </w:p>
        </w:tc>
        <w:tc>
          <w:tcPr>
            <w:tcW w:type="dxa" w:w="21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Data sovereignty controls must be configured; higher ongoing spend</w:t>
            </w:r>
          </w:p>
        </w:tc>
      </w:tr>
      <w:tr>
        <w:tc>
          <w:tcPr>
            <w:tcW w:type="dxa" w:w="1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Hybrid</w:t>
            </w:r>
          </w:p>
        </w:tc>
        <w:tc>
          <w:tcPr>
            <w:tcW w:type="dxa" w:w="31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Ingestion, enrichment, and rule engine on-premises; LLM inference in private cloud tenancy with network isolation</w:t>
            </w:r>
          </w:p>
        </w:tc>
        <w:tc>
          <w:tcPr>
            <w:tcW w:type="dxa" w:w="22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Institutions balancing data control with GPU elasticity for high-volume periods</w:t>
            </w:r>
          </w:p>
        </w:tc>
        <w:tc>
          <w:tcPr>
            <w:tcW w:type="dxa" w:w="2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Network latency between layers; dual-environment operational complexity</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13. Live Demo Flow</w:t>
      </w:r>
    </w:p>
    <w:p>
      <w:pPr>
        <w:spacing w:before="60" w:after="100"/>
        <w:jc w:val="both"/>
      </w:pPr>
      <w:r>
        <w:rPr>
          <w:rFonts w:ascii="Arial" w:cs="Arial" w:eastAsia="Arial" w:hAnsi="Arial"/>
          <w:color w:val="1A1A1A"/>
          <w:sz w:val="22"/>
          <w:szCs w:val="22"/>
        </w:rPr>
        <w:t xml:space="preserve">The demonstration follows a structuring-and-layering typology case. A judge can follow the complete journey from raw alert to filed SAR with full audit trail in under ten minutes. All services run locally via Docker Compose — no internet connection required.</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720"/>
        <w:gridCol w:w="6160"/>
      </w:tblGrid>
      <w:tr>
        <w:tc>
          <w:tcPr>
            <w:tcW w:type="dxa" w:w="48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t>
            </w:r>
          </w:p>
        </w:tc>
        <w:tc>
          <w:tcPr>
            <w:tcW w:type="dxa" w:w="272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Story Beat</w:t>
            </w:r>
          </w:p>
        </w:tc>
        <w:tc>
          <w:tcPr>
            <w:tcW w:type="dxa" w:w="61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What the Judge Sees</w:t>
            </w:r>
          </w:p>
        </w:tc>
      </w:tr>
      <w:tr>
        <w:tc>
          <w:tcPr>
            <w:tcW w:type="dxa" w:w="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1</w:t>
            </w:r>
          </w:p>
        </w:tc>
        <w:tc>
          <w:tcPr>
            <w:tcW w:type="dxa" w:w="27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The Alert Arrives</w:t>
            </w:r>
          </w:p>
        </w:tc>
        <w:tc>
          <w:tcPr>
            <w:tcW w:type="dxa" w:w="6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JSON alert submitted via Postman/cURL. Case ID generated instantly. Dashboard shows INGESTED state.</w:t>
            </w:r>
          </w:p>
        </w:tc>
      </w:tr>
      <w:tr>
        <w:tc>
          <w:tcPr>
            <w:tcW w:type="dxa" w:w="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2</w:t>
            </w:r>
          </w:p>
        </w:tc>
        <w:tc>
          <w:tcPr>
            <w:tcW w:type="dxa" w:w="27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Intelligence Activates</w:t>
            </w:r>
          </w:p>
        </w:tc>
        <w:tc>
          <w:tcPr>
            <w:tcW w:type="dxa" w:w="61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Real-time state transitions: ENRICHED → RULE_TRIGGERED within ~10 seconds. Risk score appears on dashboard.</w:t>
            </w:r>
          </w:p>
        </w:tc>
      </w:tr>
      <w:tr>
        <w:tc>
          <w:tcPr>
            <w:tcW w:type="dxa" w:w="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3</w:t>
            </w:r>
          </w:p>
        </w:tc>
        <w:tc>
          <w:tcPr>
            <w:tcW w:type="dxa" w:w="27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Rules Fire</w:t>
            </w:r>
          </w:p>
        </w:tc>
        <w:tc>
          <w:tcPr>
            <w:tcW w:type="dxa" w:w="6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Evidence panel populates: AML-001 [Structuring, 0.82] and AML-017 [Rapid Movement, 0.79] with specific observations.</w:t>
            </w:r>
          </w:p>
        </w:tc>
      </w:tr>
      <w:tr>
        <w:tc>
          <w:tcPr>
            <w:tcW w:type="dxa" w:w="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4</w:t>
            </w:r>
          </w:p>
        </w:tc>
        <w:tc>
          <w:tcPr>
            <w:tcW w:type="dxa" w:w="27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AI Retrieves Precedents</w:t>
            </w:r>
          </w:p>
        </w:tc>
        <w:tc>
          <w:tcPr>
            <w:tcW w:type="dxa" w:w="61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ChromaDB returns top-5 matched SARs with similarity scores. Corpus snapshot ID logged.</w:t>
            </w:r>
          </w:p>
        </w:tc>
      </w:tr>
      <w:tr>
        <w:tc>
          <w:tcPr>
            <w:tcW w:type="dxa" w:w="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5</w:t>
            </w:r>
          </w:p>
        </w:tc>
        <w:tc>
          <w:tcPr>
            <w:tcW w:type="dxa" w:w="27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Narrative Generated</w:t>
            </w:r>
          </w:p>
        </w:tc>
        <w:tc>
          <w:tcPr>
            <w:tcW w:type="dxa" w:w="6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LLM produces structured JSON in ~90 seconds. Draft populates into schema sections in analyst UI.</w:t>
            </w:r>
          </w:p>
        </w:tc>
      </w:tr>
      <w:tr>
        <w:tc>
          <w:tcPr>
            <w:tcW w:type="dxa" w:w="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6</w:t>
            </w:r>
          </w:p>
        </w:tc>
        <w:tc>
          <w:tcPr>
            <w:tcW w:type="dxa" w:w="27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Validation Passes</w:t>
            </w:r>
          </w:p>
        </w:tc>
        <w:tc>
          <w:tcPr>
            <w:tcW w:type="dxa" w:w="61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All 8 validation checks pass. Explainability scores shown per sentence. No sentences flagged.</w:t>
            </w:r>
          </w:p>
        </w:tc>
      </w:tr>
      <w:tr>
        <w:tc>
          <w:tcPr>
            <w:tcW w:type="dxa" w:w="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7</w:t>
            </w:r>
          </w:p>
        </w:tc>
        <w:tc>
          <w:tcPr>
            <w:tcW w:type="dxa" w:w="27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Analyst Reviews</w:t>
            </w:r>
          </w:p>
        </w:tc>
        <w:tc>
          <w:tcPr>
            <w:tcW w:type="dxa" w:w="6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Side-by-side evidence panel and draft editor. Hover over sentence → evidence links shown. Clean, professional UI.</w:t>
            </w:r>
          </w:p>
        </w:tc>
      </w:tr>
      <w:tr>
        <w:tc>
          <w:tcPr>
            <w:tcW w:type="dxa" w:w="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8</w:t>
            </w:r>
          </w:p>
        </w:tc>
        <w:tc>
          <w:tcPr>
            <w:tcW w:type="dxa" w:w="27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Edit → Approve</w:t>
            </w:r>
          </w:p>
        </w:tc>
        <w:tc>
          <w:tcPr>
            <w:tcW w:type="dxa" w:w="61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Analyst modifies one sentence. Edit captured as section diff. Approval submitted with mandatory comment.</w:t>
            </w:r>
          </w:p>
        </w:tc>
      </w:tr>
      <w:tr>
        <w:tc>
          <w:tcPr>
            <w:tcW w:type="dxa" w:w="48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9</w:t>
            </w:r>
          </w:p>
        </w:tc>
        <w:tc>
          <w:tcPr>
            <w:tcW w:type="dxa" w:w="27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Audit Trail Revealed</w:t>
            </w:r>
          </w:p>
        </w:tc>
        <w:tc>
          <w:tcPr>
            <w:tcW w:type="dxa" w:w="61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Full audit record displayed: rules → evidence → corpus snapshot → prompt SHA → generation → validation → edit diff → approval.</w:t>
            </w:r>
          </w:p>
        </w:tc>
      </w:tr>
      <w:tr>
        <w:tc>
          <w:tcPr>
            <w:tcW w:type="dxa" w:w="48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10</w:t>
            </w:r>
          </w:p>
        </w:tc>
        <w:tc>
          <w:tcPr>
            <w:tcW w:type="dxa" w:w="27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Replay Demonstrated</w:t>
            </w:r>
          </w:p>
        </w:tc>
        <w:tc>
          <w:tcPr>
            <w:tcW w:type="dxa" w:w="61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Case ID entered into replay tool. System regenerates identical draft from stored state. Judge sees exact reproducibility.</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14.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Horizon</w:t>
            </w:r>
          </w:p>
        </w:tc>
        <w:tc>
          <w:tcPr>
            <w:tcW w:type="dxa" w:w="200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Timeline</w:t>
            </w:r>
          </w:p>
        </w:tc>
        <w:tc>
          <w:tcPr>
            <w:tcW w:type="dxa" w:w="57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Enhancement</w:t>
            </w:r>
          </w:p>
        </w:tc>
      </w:tr>
      <w:tr>
        <w:tc>
          <w:tcPr>
            <w:tcW w:type="dxa" w:w="1600"/>
            <w:vMerge w:val="restart"/>
            <w:tcBorders>
              <w:top w:val="single" w:color="0A1F3D" w:sz="1"/>
              <w:left w:val="single" w:color="0A1F3D" w:sz="1"/>
              <w:bottom w:val="single" w:color="0A1F3D" w:sz="1"/>
              <w:right w:val="single" w:color="0A1F3D" w:sz="1"/>
            </w:tcBorders>
            <w:shd w:fill="1A4E8A"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SHORT TERM</w:t>
            </w:r>
          </w:p>
        </w:tc>
        <w:tc>
          <w:tcPr>
            <w:tcW w:type="dxa" w:w="2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Q2 2026</w:t>
            </w:r>
          </w:p>
        </w:tc>
        <w:tc>
          <w:tcPr>
            <w:tcW w:type="dxa" w:w="5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Full Kafka streaming integration — sub-minute latency from alert to draft availability at enterprise volume</w:t>
            </w:r>
          </w:p>
        </w:tc>
      </w:tr>
      <w:tr>
        <w:tc>
          <w:tcPr>
            <w:vMerge w:val="continue"/>
            <w:tcBorders>
              <w:top w:val="single" w:color="0A1F3D" w:sz="1"/>
              <w:left w:val="single" w:color="0A1F3D" w:sz="1"/>
              <w:bottom w:val="single" w:color="0A1F3D" w:sz="1"/>
              <w:right w:val="single" w:color="0A1F3D" w:sz="1"/>
            </w:tcBorders>
          </w:tcPr>
          <w:p/>
        </w:tc>
        <w:tc>
          <w:tcPr>
            <w:tcW w:type="dxa" w:w="20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Q3 2026</w:t>
            </w:r>
          </w:p>
        </w:tc>
        <w:tc>
          <w:tcPr>
            <w:tcW w:type="dxa" w:w="5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Statistical explainability scoring — per-sentence confidence quantification with configurable acceptance thresholds</w:t>
            </w:r>
          </w:p>
        </w:tc>
      </w:tr>
      <w:tr>
        <w:tc>
          <w:tcPr>
            <w:vMerge w:val="continue"/>
            <w:tcBorders>
              <w:top w:val="single" w:color="0A1F3D" w:sz="1"/>
              <w:left w:val="single" w:color="0A1F3D" w:sz="1"/>
              <w:bottom w:val="single" w:color="0A1F3D" w:sz="1"/>
              <w:right w:val="single" w:color="0A1F3D" w:sz="1"/>
            </w:tcBorders>
          </w:tcPr>
          <w:p/>
        </w:tc>
        <w:tc>
          <w:tcPr>
            <w:tcW w:type="dxa" w:w="2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Q3 2026</w:t>
            </w:r>
          </w:p>
        </w:tc>
        <w:tc>
          <w:tcPr>
            <w:tcW w:type="dxa" w:w="5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Cross-border compliance engine — jurisdiction-aware rule sets for FinCEN, FCA, RBI, MAS simultaneous compliance</w:t>
            </w:r>
          </w:p>
        </w:tc>
      </w:tr>
      <w:tr>
        <w:tc>
          <w:tcPr>
            <w:tcW w:type="dxa" w:w="1600"/>
            <w:vMerge w:val="restart"/>
            <w:tcBorders>
              <w:top w:val="single" w:color="0A1F3D" w:sz="1"/>
              <w:left w:val="single" w:color="0A1F3D" w:sz="1"/>
              <w:bottom w:val="single" w:color="0A1F3D" w:sz="1"/>
              <w:right w:val="single" w:color="0A1F3D" w:sz="1"/>
            </w:tcBorders>
            <w:shd w:fill="2C5282"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MID TERM</w:t>
            </w:r>
          </w:p>
        </w:tc>
        <w:tc>
          <w:tcPr>
            <w:tcW w:type="dxa" w:w="20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Q4 2026</w:t>
            </w:r>
          </w:p>
        </w:tc>
        <w:tc>
          <w:tcPr>
            <w:tcW w:type="dxa" w:w="5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Graph intelligence layer (Neo4j) — multi-hop entity relationship analysis detecting circular flows and beneficial ownership structures</w:t>
            </w:r>
          </w:p>
        </w:tc>
      </w:tr>
      <w:tr>
        <w:tc>
          <w:tcPr>
            <w:vMerge w:val="continue"/>
            <w:tcBorders>
              <w:top w:val="single" w:color="0A1F3D" w:sz="1"/>
              <w:left w:val="single" w:color="0A1F3D" w:sz="1"/>
              <w:bottom w:val="single" w:color="0A1F3D" w:sz="1"/>
              <w:right w:val="single" w:color="0A1F3D" w:sz="1"/>
            </w:tcBorders>
          </w:tcPr>
          <w:p/>
        </w:tc>
        <w:tc>
          <w:tcPr>
            <w:tcW w:type="dxa" w:w="2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Q1 2027</w:t>
            </w:r>
          </w:p>
        </w:tc>
        <w:tc>
          <w:tcPr>
            <w:tcW w:type="dxa" w:w="5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Adaptive rule learning — analyst feedback loop proposing YAML rule candidates from approval/rejection patterns for compliance team review</w:t>
            </w:r>
          </w:p>
        </w:tc>
      </w:tr>
      <w:tr>
        <w:tc>
          <w:tcPr>
            <w:vMerge w:val="continue"/>
            <w:tcBorders>
              <w:top w:val="single" w:color="0A1F3D" w:sz="1"/>
              <w:left w:val="single" w:color="0A1F3D" w:sz="1"/>
              <w:bottom w:val="single" w:color="0A1F3D" w:sz="1"/>
              <w:right w:val="single" w:color="0A1F3D" w:sz="1"/>
            </w:tcBorders>
          </w:tcPr>
          <w:p/>
        </w:tc>
        <w:tc>
          <w:tcPr>
            <w:tcW w:type="dxa" w:w="20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Q1 2027</w:t>
            </w:r>
          </w:p>
        </w:tc>
        <w:tc>
          <w:tcPr>
            <w:tcW w:type="dxa" w:w="5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Domain-fine-tuned LLM — compliance-specific model training on approved SAR corpus for superior typology accuracy beyond RAG alone</w:t>
            </w:r>
          </w:p>
        </w:tc>
      </w:tr>
      <w:tr>
        <w:tc>
          <w:tcPr>
            <w:tcW w:type="dxa" w:w="1600"/>
            <w:vMerge w:val="restart"/>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vAlign w:val="center"/>
          </w:tcPr>
          <w:p>
            <w:pPr>
              <w:jc w:val="center"/>
            </w:pPr>
            <w:r>
              <w:rPr>
                <w:rFonts w:ascii="Arial" w:cs="Arial" w:eastAsia="Arial" w:hAnsi="Arial"/>
                <w:b/>
                <w:bCs/>
                <w:color w:val="00AEEF"/>
                <w:sz w:val="18"/>
                <w:szCs w:val="18"/>
              </w:rPr>
              <w:t xml:space="preserve">ENTERPRISE</w:t>
            </w:r>
          </w:p>
        </w:tc>
        <w:tc>
          <w:tcPr>
            <w:tcW w:type="dxa" w:w="20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2027+</w:t>
            </w:r>
          </w:p>
        </w:tc>
        <w:tc>
          <w:tcPr>
            <w:tcW w:type="dxa" w:w="57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Typology drift detection — statistical monitoring of rule trigger frequency to surface emerging AML patterns before enforcement exposure</w:t>
            </w:r>
          </w:p>
        </w:tc>
      </w:tr>
      <w:tr>
        <w:tc>
          <w:tcPr>
            <w:vMerge w:val="continue"/>
            <w:tcBorders>
              <w:top w:val="single" w:color="0A1F3D" w:sz="1"/>
              <w:left w:val="single" w:color="0A1F3D" w:sz="1"/>
              <w:bottom w:val="single" w:color="0A1F3D" w:sz="1"/>
              <w:right w:val="single" w:color="0A1F3D" w:sz="1"/>
            </w:tcBorders>
          </w:tcPr>
          <w:p/>
        </w:tc>
        <w:tc>
          <w:tcPr>
            <w:tcW w:type="dxa" w:w="200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2027+</w:t>
            </w:r>
          </w:p>
        </w:tc>
        <w:tc>
          <w:tcPr>
            <w:tcW w:type="dxa" w:w="57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Multilingual narrative generation — jurisdiction-appropriate SAR formatting in multiple languages for global compliance operations</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15. Why Our Solution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F3D" w:val="clear"/>
            <w:tcMar>
              <w:top w:type="dxa" w:w="50"/>
              <w:left w:type="dxa" w:w="200"/>
              <w:bottom w:type="dxa" w:w="50"/>
              <w:right w:type="dxa" w:w="200"/>
            </w:tcMar>
          </w:tcPr>
          <w:p>
            <w:pPr>
              <w:jc w:val="center"/>
            </w:pPr>
            <w:r>
              <w:rPr>
                <w:rFonts w:ascii="Arial" w:cs="Arial" w:eastAsia="Arial" w:hAnsi="Arial"/>
                <w:b/>
                <w:bCs/>
                <w:color w:val="00AEEF"/>
                <w:sz w:val="17"/>
                <w:szCs w:val="17"/>
              </w:rPr>
              <w:t xml:space="preserve">  DIRECT COMPETITIVE COMPARISON — 8 CRITICAL COMPLIANCE CAPABILITIES  </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560"/>
        <w:gridCol w:w="1560"/>
        <w:gridCol w:w="1560"/>
        <w:gridCol w:w="1820"/>
      </w:tblGrid>
      <w:tr>
        <w:tc>
          <w:tcPr>
            <w:tcW w:type="dxa" w:w="28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Capability</w:t>
            </w:r>
          </w:p>
        </w:tc>
        <w:tc>
          <w:tcPr>
            <w:tcW w:type="dxa" w:w="15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Manual Process</w:t>
            </w:r>
          </w:p>
        </w:tc>
        <w:tc>
          <w:tcPr>
            <w:tcW w:type="dxa" w:w="15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Generic LLM</w:t>
            </w:r>
          </w:p>
        </w:tc>
        <w:tc>
          <w:tcPr>
            <w:tcW w:type="dxa" w:w="156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Rule-Only AML</w:t>
            </w:r>
          </w:p>
        </w:tc>
        <w:tc>
          <w:tcPr>
            <w:tcW w:type="dxa" w:w="182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This System</w:t>
            </w:r>
          </w:p>
        </w:tc>
      </w:tr>
      <w:tr>
        <w:tc>
          <w:tcPr>
            <w:tcW w:type="dxa" w:w="28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Evidence-grounded SAR narrative</w:t>
            </w:r>
          </w:p>
        </w:tc>
        <w:tc>
          <w:tcPr>
            <w:tcW w:type="dxa" w:w="156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w:t>
            </w:r>
          </w:p>
        </w:tc>
      </w:tr>
      <w:tr>
        <w:tc>
          <w:tcPr>
            <w:tcW w:type="dxa" w:w="28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Deterministic AML rule enforcement</w:t>
            </w:r>
          </w:p>
        </w:tc>
        <w:tc>
          <w:tcPr>
            <w:tcW w:type="dxa" w:w="156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 versioned</w:t>
            </w:r>
          </w:p>
        </w:tc>
      </w:tr>
      <w:tr>
        <w:tc>
          <w:tcPr>
            <w:tcW w:type="dxa" w:w="28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Sentence-level audit traceability</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w:t>
            </w:r>
          </w:p>
        </w:tc>
      </w:tr>
      <w:tr>
        <w:tc>
          <w:tcPr>
            <w:tcW w:type="dxa" w:w="28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PII isolated from AI model</w:t>
            </w:r>
          </w:p>
        </w:tc>
        <w:tc>
          <w:tcPr>
            <w:tcW w:type="dxa" w:w="15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N/A</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N/A</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 by design</w:t>
            </w:r>
          </w:p>
        </w:tc>
      </w:tr>
      <w:tr>
        <w:tc>
          <w:tcPr>
            <w:tcW w:type="dxa" w:w="28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Regulatory schema enforcement</w:t>
            </w:r>
          </w:p>
        </w:tc>
        <w:tc>
          <w:tcPr>
            <w:tcW w:type="dxa" w:w="156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w:t>
            </w:r>
          </w:p>
        </w:tc>
      </w:tr>
      <w:tr>
        <w:tc>
          <w:tcPr>
            <w:tcW w:type="dxa" w:w="28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Mandatory human approval governance</w:t>
            </w:r>
          </w:p>
        </w:tc>
        <w:tc>
          <w:tcPr>
            <w:tcW w:type="dxa" w:w="156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w:t>
            </w:r>
          </w:p>
        </w:tc>
      </w:tr>
      <w:tr>
        <w:tc>
          <w:tcPr>
            <w:tcW w:type="dxa" w:w="28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Regulator-replayable complete audit</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EF3CD" w:val="clear"/>
            <w:tcMar>
              <w:top w:type="dxa" w:w="90"/>
              <w:left w:type="dxa" w:w="130"/>
              <w:bottom w:type="dxa" w:w="90"/>
              <w:right w:type="dxa" w:w="130"/>
            </w:tcMar>
            <w:vAlign w:val="top"/>
          </w:tcPr>
          <w:p>
            <w:pPr>
              <w:jc w:val="center"/>
            </w:pPr>
            <w:r>
              <w:rPr>
                <w:rFonts w:ascii="Arial" w:cs="Arial" w:eastAsia="Arial" w:hAnsi="Arial"/>
                <w:b/>
                <w:bCs/>
                <w:color w:val="8B5E00"/>
                <w:sz w:val="20"/>
                <w:szCs w:val="20"/>
              </w:rPr>
              <w:t xml:space="preserve">◐</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w:t>
            </w:r>
          </w:p>
        </w:tc>
      </w:tr>
      <w:tr>
        <w:tc>
          <w:tcPr>
            <w:tcW w:type="dxa" w:w="28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Multi-layer hallucination controls</w:t>
            </w:r>
          </w:p>
        </w:tc>
        <w:tc>
          <w:tcPr>
            <w:tcW w:type="dxa" w:w="156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N/A</w:t>
            </w:r>
          </w:p>
        </w:tc>
        <w:tc>
          <w:tcPr>
            <w:tcW w:type="dxa" w:w="1560"/>
            <w:tcBorders>
              <w:top w:val="single" w:color="C8D8E8" w:sz="1"/>
              <w:left w:val="single" w:color="C8D8E8" w:sz="1"/>
              <w:bottom w:val="single" w:color="C8D8E8" w:sz="1"/>
              <w:right w:val="single" w:color="C8D8E8" w:sz="1"/>
            </w:tcBorders>
            <w:shd w:fill="FEE2E2" w:val="clear"/>
            <w:tcMar>
              <w:top w:type="dxa" w:w="90"/>
              <w:left w:type="dxa" w:w="130"/>
              <w:bottom w:type="dxa" w:w="90"/>
              <w:right w:type="dxa" w:w="130"/>
            </w:tcMar>
            <w:vAlign w:val="top"/>
          </w:tcPr>
          <w:p>
            <w:pPr>
              <w:jc w:val="center"/>
            </w:pPr>
            <w:r>
              <w:rPr>
                <w:rFonts w:ascii="Arial" w:cs="Arial" w:eastAsia="Arial" w:hAnsi="Arial"/>
                <w:b/>
                <w:bCs/>
                <w:color w:val="9B1C1C"/>
                <w:sz w:val="20"/>
                <w:szCs w:val="20"/>
              </w:rPr>
              <w:t xml:space="preserve">✗</w:t>
            </w:r>
          </w:p>
        </w:tc>
        <w:tc>
          <w:tcPr>
            <w:tcW w:type="dxa" w:w="15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center"/>
            </w:pPr>
            <w:r>
              <w:rPr>
                <w:rFonts w:ascii="Arial" w:cs="Arial" w:eastAsia="Arial" w:hAnsi="Arial"/>
                <w:color w:val="1A1A1A"/>
                <w:sz w:val="20"/>
                <w:szCs w:val="20"/>
              </w:rPr>
              <w:t xml:space="preserve">N/A</w:t>
            </w:r>
          </w:p>
        </w:tc>
        <w:tc>
          <w:tcPr>
            <w:tcW w:type="dxa" w:w="1820"/>
            <w:tcBorders>
              <w:top w:val="single" w:color="C8D8E8" w:sz="1"/>
              <w:left w:val="single" w:color="C8D8E8" w:sz="1"/>
              <w:bottom w:val="single" w:color="C8D8E8" w:sz="1"/>
              <w:right w:val="single" w:color="C8D8E8" w:sz="1"/>
            </w:tcBorders>
            <w:shd w:fill="E8F5EE" w:val="clear"/>
            <w:tcMar>
              <w:top w:type="dxa" w:w="90"/>
              <w:left w:type="dxa" w:w="130"/>
              <w:bottom w:type="dxa" w:w="90"/>
              <w:right w:type="dxa" w:w="130"/>
            </w:tcMar>
            <w:vAlign w:val="top"/>
          </w:tcPr>
          <w:p>
            <w:pPr>
              <w:jc w:val="center"/>
            </w:pPr>
            <w:r>
              <w:rPr>
                <w:rFonts w:ascii="Arial" w:cs="Arial" w:eastAsia="Arial" w:hAnsi="Arial"/>
                <w:b/>
                <w:bCs/>
                <w:color w:val="1A6B3C"/>
                <w:sz w:val="20"/>
                <w:szCs w:val="20"/>
              </w:rPr>
              <w:t xml:space="preserve">✓ 3 layers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What Competitors Cannot Match</w:t>
            </w:r>
          </w:p>
        </w:tc>
        <w:tc>
          <w:tcPr>
            <w:tcW w:type="dxa" w:w="6240"/>
            <w:gridSpan w:val="1"/>
            <w:tcBorders>
              <w:top w:val="single" w:color="0A1F3D" w:sz="1"/>
              <w:left w:val="single" w:color="0A1F3D" w:sz="1"/>
              <w:bottom w:val="single" w:color="0A1F3D" w:sz="1"/>
              <w:right w:val="single" w:color="0A1F3D" w:sz="1"/>
            </w:tcBorders>
            <w:shd w:fill="0A1F3D" w:val="clear"/>
            <w:tcMar>
              <w:top w:type="dxa" w:w="90"/>
              <w:left w:type="dxa" w:w="130"/>
              <w:bottom w:type="dxa" w:w="90"/>
              <w:right w:type="dxa" w:w="130"/>
            </w:tcMar>
          </w:tcPr>
          <w:p>
            <w:pPr>
              <w:jc w:val="left"/>
            </w:pPr>
            <w:r>
              <w:rPr>
                <w:rFonts w:ascii="Arial" w:cs="Arial" w:eastAsia="Arial" w:hAnsi="Arial"/>
                <w:b/>
                <w:bCs/>
                <w:color w:val="FFFFFF"/>
                <w:sz w:val="20"/>
                <w:szCs w:val="20"/>
              </w:rPr>
              <w:t xml:space="preserve">Why It Matters to Regulators and Banks</w:t>
            </w:r>
          </w:p>
        </w:tc>
      </w:tr>
      <w:tr>
        <w:tc>
          <w:tcPr>
            <w:tcW w:type="dxa" w:w="31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Architectural PII isolation</w:t>
            </w:r>
          </w:p>
        </w:tc>
        <w:tc>
          <w:tcPr>
            <w:tcW w:type="dxa" w:w="624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Not a filter or policy — it is a physical data boundary. The LLM literally cannot access PII. This is not achievable by fine-tuning or prompting alone.</w:t>
            </w:r>
          </w:p>
        </w:tc>
      </w:tr>
      <w:tr>
        <w:tc>
          <w:tcPr>
            <w:tcW w:type="dxa" w:w="31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Deterministic decision layer</w:t>
            </w:r>
          </w:p>
        </w:tc>
        <w:tc>
          <w:tcPr>
            <w:tcW w:type="dxa" w:w="624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Compliance determinations are reproducible, versionable, and jurisdiction-configurable. They can be reviewed by regulators and updated through a governed process.</w:t>
            </w:r>
          </w:p>
        </w:tc>
      </w:tr>
      <w:tr>
        <w:tc>
          <w:tcPr>
            <w:tcW w:type="dxa" w:w="312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Regulator-replayable audit</w:t>
            </w:r>
          </w:p>
        </w:tc>
        <w:tc>
          <w:tcPr>
            <w:tcW w:type="dxa" w:w="624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No other approach can regenerate the exact same output from stored state. This capability is the difference between 'we used AI' and 'we can prove what our AI did'.</w:t>
            </w:r>
          </w:p>
        </w:tc>
      </w:tr>
      <w:tr>
        <w:tc>
          <w:tcPr>
            <w:tcW w:type="dxa" w:w="312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b/>
                <w:bCs/>
                <w:color w:val="1A1A1A"/>
                <w:sz w:val="20"/>
                <w:szCs w:val="20"/>
              </w:rPr>
              <w:t xml:space="preserve">Evidence-bounded generation</w:t>
            </w:r>
          </w:p>
        </w:tc>
        <w:tc>
          <w:tcPr>
            <w:tcW w:type="dxa" w:w="6240"/>
            <w:tcBorders>
              <w:top w:val="single" w:color="C8D8E8" w:sz="1"/>
              <w:left w:val="single" w:color="C8D8E8" w:sz="1"/>
              <w:bottom w:val="single" w:color="C8D8E8" w:sz="1"/>
              <w:right w:val="single" w:color="C8D8E8" w:sz="1"/>
            </w:tcBorders>
            <w:shd w:fill="F4F8FC" w:val="clear"/>
            <w:tcMar>
              <w:top w:type="dxa" w:w="90"/>
              <w:left w:type="dxa" w:w="130"/>
              <w:bottom w:type="dxa" w:w="90"/>
              <w:right w:type="dxa" w:w="130"/>
            </w:tcMar>
            <w:vAlign w:val="top"/>
          </w:tcPr>
          <w:p>
            <w:pPr>
              <w:jc w:val="left"/>
            </w:pPr>
            <w:r>
              <w:rPr>
                <w:rFonts w:ascii="Arial" w:cs="Arial" w:eastAsia="Arial" w:hAnsi="Arial"/>
                <w:color w:val="1A1A1A"/>
                <w:sz w:val="20"/>
                <w:szCs w:val="20"/>
              </w:rPr>
              <w:t xml:space="preserve">The LLM operates in a closed information space. It cannot speculate. Every claim is traceable. This converts AI assistance from a liability into a regulatory asset.</w:t>
            </w:r>
          </w:p>
        </w:tc>
      </w:tr>
    </w:tbl>
    <w:p>
      <w:pPr>
        <w:spacing w:before="0" w:after="100"/>
      </w:pPr>
    </w:p>
    <w:p>
      <w:pPr>
        <w:pStyle w:val="Heading1"/>
        <w:pBdr>
          <w:bottom w:val="single" w:color="00AEEF" w:sz="10" w:space="5"/>
        </w:pBdr>
        <w:spacing w:before="400" w:after="160"/>
      </w:pPr>
      <w:r>
        <w:rPr>
          <w:rFonts w:ascii="Arial" w:cs="Arial" w:eastAsia="Arial" w:hAnsi="Arial"/>
          <w:b/>
          <w:bCs/>
          <w:color w:val="0A1F3D"/>
          <w:sz w:val="34"/>
          <w:szCs w:val="34"/>
        </w:rPr>
        <w:t xml:space="preserve">16. Conclusion</w:t>
      </w:r>
    </w:p>
    <w:p>
      <w:pPr>
        <w:spacing w:before="60" w:after="100"/>
        <w:jc w:val="both"/>
      </w:pPr>
      <w:r>
        <w:rPr>
          <w:rFonts w:ascii="Arial" w:cs="Arial" w:eastAsia="Arial" w:hAnsi="Arial"/>
          <w:color w:val="1A1A1A"/>
          <w:sz w:val="22"/>
          <w:szCs w:val="22"/>
        </w:rPr>
        <w:t xml:space="preserve">The SAR Narrative Generator with Intelligent Audit Trail is not an AI writing tool applied to compliance. It is a compliance system that uses AI precisely where AI adds value — and excludes it precisely where it introduces risk.</w:t>
      </w:r>
    </w:p>
    <w:p>
      <w:pPr>
        <w:spacing w:before="60" w:after="100"/>
        <w:jc w:val="both"/>
      </w:pPr>
      <w:r>
        <w:rPr>
          <w:rFonts w:ascii="Arial" w:cs="Arial" w:eastAsia="Arial" w:hAnsi="Arial"/>
          <w:color w:val="1A1A1A"/>
          <w:sz w:val="22"/>
          <w:szCs w:val="22"/>
        </w:rPr>
        <w:t xml:space="preserve">The system's four defining innovations — architectural PII isolation, deterministic rule-layer separation, sentence-level evidence traceability, and regulator-replayable audit replay — are not features layered on top of an LLM. They are the structural foundation upon which the LLM operates. Remove any one of them and the system loses its regulatory credibility. Together, they transform AI assistance from a compliance liability into a demonstrable compliance asset.</w:t>
      </w:r>
    </w:p>
    <w:p>
      <w:pPr>
        <w:spacing w:before="60" w:after="100"/>
        <w:jc w:val="both"/>
      </w:pPr>
      <w:r>
        <w:rPr>
          <w:rFonts w:ascii="Arial" w:cs="Arial" w:eastAsia="Arial" w:hAnsi="Arial"/>
          <w:color w:val="1A1A1A"/>
          <w:sz w:val="22"/>
          <w:szCs w:val="22"/>
        </w:rPr>
        <w:t xml:space="preserve">For a bank processing 10,000 SARs annually, the system delivers an estimated £1.8 million net annual saving while improving narrative quality, reducing regulatory exposure, and generating the complete audit evidence that modern supervisors demand. At 50,000 SARs, the saving scales toward £9 million. The architecture scales with it — every component is stateless, independently scalable, and production-deployable from the prototype foundation built here.</w:t>
      </w:r>
    </w:p>
    <w:p>
      <w:pPr>
        <w:spacing w:before="60" w:after="100"/>
        <w:jc w:val="both"/>
      </w:pPr>
      <w:r>
        <w:rPr>
          <w:rFonts w:ascii="Arial" w:cs="Arial" w:eastAsia="Arial" w:hAnsi="Arial"/>
          <w:color w:val="1A1A1A"/>
          <w:sz w:val="22"/>
          <w:szCs w:val="22"/>
        </w:rPr>
        <w:t xml:space="preserve">In a regulatory environment that is rapidly evolving toward explicit AI accountability requirements — FCA, EBA, and the EU AI Act all moving toward mandatory explainability for high-risk financial AI — this system is not just compliant with those requirements. It is designed to exemplify them.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EEF" w:sz="1"/>
              <w:left w:val="single" w:color="00AEEF" w:sz="1"/>
              <w:bottom w:val="single" w:color="00AEEF" w:sz="1"/>
              <w:right w:val="single" w:color="00AEEF" w:sz="1"/>
            </w:tcBorders>
            <w:shd w:fill="0A1F3D" w:val="clear"/>
            <w:tcMar>
              <w:top w:type="dxa" w:w="240"/>
              <w:left w:type="dxa" w:w="400"/>
              <w:bottom w:type="dxa" w:w="240"/>
              <w:right w:type="dxa" w:w="400"/>
            </w:tcMar>
          </w:tcPr>
          <w:p>
            <w:pPr>
              <w:spacing w:before="0" w:after="80"/>
              <w:jc w:val="center"/>
            </w:pPr>
            <w:r>
              <w:rPr>
                <w:rFonts w:ascii="Arial" w:cs="Arial" w:eastAsia="Arial" w:hAnsi="Arial"/>
                <w:b/>
                <w:bCs/>
                <w:color w:val="00AEEF"/>
                <w:sz w:val="24"/>
                <w:szCs w:val="24"/>
              </w:rPr>
              <w:t xml:space="preserve">TEAM DOMINOS  ·  BARCLAYS HACK-O-HIRE 2026</w:t>
            </w:r>
          </w:p>
          <w:p>
            <w:pPr>
              <w:spacing w:before="0" w:after="80"/>
              <w:jc w:val="center"/>
            </w:pPr>
            <w:r>
              <w:rPr>
                <w:rFonts w:ascii="Arial" w:cs="Arial" w:eastAsia="Arial" w:hAnsi="Arial"/>
                <w:color w:val="FFFFFF"/>
                <w:sz w:val="22"/>
                <w:szCs w:val="22"/>
              </w:rPr>
              <w:t xml:space="preserve">SAR Narrative Generator with Intelligent Audit Trail</w:t>
            </w:r>
          </w:p>
          <w:p>
            <w:pPr>
              <w:spacing w:before="0" w:after="0"/>
              <w:jc w:val="center"/>
            </w:pPr>
            <w:r>
              <w:rPr>
                <w:rFonts w:ascii="Arial" w:cs="Arial" w:eastAsia="Arial" w:hAnsi="Arial"/>
                <w:i/>
                <w:iCs/>
                <w:color w:val="6090C0"/>
                <w:sz w:val="17"/>
                <w:szCs w:val="17"/>
              </w:rPr>
              <w:t xml:space="preserve">Python · FastAPI · Llama 3.1 · ChromaDB · PostgreSQL · React · Docker</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3" w:space="4"/>
      </w:pBdr>
      <w:spacing w:before="60" w:after="0"/>
      <w:jc w:val="right"/>
    </w:pPr>
    <w:r>
      <w:rPr>
        <w:rFonts w:ascii="Arial" w:cs="Arial" w:eastAsia="Arial" w:hAnsi="Arial"/>
        <w:color w:val="8099B8"/>
        <w:sz w:val="15"/>
        <w:szCs w:val="15"/>
      </w:rPr>
      <w:t xml:space="preserve">Confidential — Hackathon Submission   ·   Barclays Hack-O-Hire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6" w:space="5"/>
      </w:pBdr>
      <w:spacing w:before="0" w:after="60"/>
    </w:pPr>
    <w:r>
      <w:rPr>
        <w:rFonts w:ascii="Arial" w:cs="Arial" w:eastAsia="Arial" w:hAnsi="Arial"/>
        <w:b/>
        <w:bCs/>
        <w:color w:val="1A4E8A"/>
        <w:sz w:val="17"/>
        <w:szCs w:val="17"/>
      </w:rPr>
      <w:t xml:space="preserve">SAR Narrative Generator with Intelligent Audit Trail</w:t>
    </w:r>
    <w:r>
      <w:rPr>
        <w:rFonts w:ascii="Arial" w:cs="Arial" w:eastAsia="Arial" w:hAnsi="Arial"/>
        <w:color w:val="8099B8"/>
        <w:sz w:val="17"/>
        <w:szCs w:val="17"/>
      </w:rPr>
      <w:t xml:space="preserve">   ·   Team Dominos   ·   Barclays Hack-O-Hire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F3D"/>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A4E8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2026-02-18T18:38:43.034Z</dcterms:created>
  <dcterms:modified xsi:type="dcterms:W3CDTF">2026-02-18T18:38:43.035Z</dcterms:modified>
</cp:coreProperties>
</file>

<file path=docProps/custom.xml><?xml version="1.0" encoding="utf-8"?>
<Properties xmlns="http://schemas.openxmlformats.org/officeDocument/2006/custom-properties" xmlns:vt="http://schemas.openxmlformats.org/officeDocument/2006/docPropsVTypes"/>
</file>