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A5F"/>
          <w:sz w:val="44"/>
          <w:szCs w:val="44"/>
        </w:rPr>
        <w:t xml:space="preserve">Glean Evaluation Strategy</w:t>
      </w:r>
    </w:p>
    <w:p>
      <w:pPr>
        <w:spacing w:after="60"/>
      </w:pPr>
      <w:r>
        <w:rPr>
          <w:rFonts w:ascii="Calibri" w:cs="Calibri" w:eastAsia="Calibri" w:hAnsi="Calibri"/>
          <w:color w:val="2E6F8E"/>
          <w:sz w:val="26"/>
          <w:szCs w:val="26"/>
        </w:rPr>
        <w:t xml:space="preserve">Chat, Agents, and Actions — Evidence-Based Evaluation Strategy</w:t>
      </w:r>
    </w:p>
    <w:p>
      <w:pPr>
        <w:spacing w:after="300"/>
      </w:pPr>
      <w:r>
        <w:rPr>
          <w:rFonts w:ascii="Calibri" w:cs="Calibri" w:eastAsia="Calibri" w:hAnsi="Calibri"/>
          <w:i/>
          <w:iCs/>
          <w:color w:val="555555"/>
          <w:sz w:val="20"/>
          <w:szCs w:val="20"/>
        </w:rPr>
        <w:t xml:space="preserve">Evaluation framework: DeepEval, run locally. No cloud metrics or dashboarding.</w:t>
      </w:r>
    </w:p>
    <w:p>
      <w:pPr>
        <w:pBdr>
          <w:bottom w:val="single" w:color="CCCCCC" w:sz="6" w:space="1"/>
        </w:pBdr>
        <w:spacing w:after="220" w:before="120"/>
      </w:pPr>
      <w:r>
        <w:t xml:space="preserve"/>
      </w:r>
    </w:p>
    <w:p>
      <w:pPr>
        <w:pStyle w:val="Heading1"/>
        <w:spacing w:after="160" w:before="360"/>
      </w:pPr>
      <w:r>
        <w:rPr>
          <w:rFonts w:ascii="Calibri" w:cs="Calibri" w:eastAsia="Calibri" w:hAnsi="Calibri"/>
          <w:b/>
          <w:bCs/>
          <w:color w:val="1F3A5F"/>
          <w:sz w:val="30"/>
          <w:szCs w:val="30"/>
        </w:rPr>
        <w:t xml:space="preserve">1. Purpose</w:t>
      </w:r>
    </w:p>
    <w:p>
      <w:pPr>
        <w:spacing w:after="140" w:line="276"/>
      </w:pPr>
      <w:r>
        <w:rPr>
          <w:rFonts w:ascii="Calibri" w:cs="Calibri" w:eastAsia="Calibri" w:hAnsi="Calibri"/>
          <w:sz w:val="21"/>
          <w:szCs w:val="21"/>
        </w:rPr>
        <w:t xml:space="preserve">Establish a repeatable, evidence-based method to evaluate Glean's Chat, Agents, and Actions surfaces. Every claim in this document about an API field, response schema, beta feature, or DeepEval metric behavior has been checked directly against current provider documentation, and is stated below as either a resolved fact or a condition to verify against the target tenant at execution time. Both platforms change frequently; re-verify anything load-bearing before final execution.</w:t>
      </w:r>
    </w:p>
    <w:p>
      <w:pPr>
        <w:pStyle w:val="Heading1"/>
        <w:spacing w:after="160" w:before="360"/>
      </w:pPr>
      <w:r>
        <w:rPr>
          <w:rFonts w:ascii="Calibri" w:cs="Calibri" w:eastAsia="Calibri" w:hAnsi="Calibri"/>
          <w:b/>
          <w:bCs/>
          <w:color w:val="1F3A5F"/>
          <w:sz w:val="30"/>
          <w:szCs w:val="30"/>
        </w:rPr>
        <w:t xml:space="preserve">2. Scope</w:t>
      </w:r>
    </w:p>
    <w:p>
      <w:pPr>
        <w:pStyle w:val="Heading3"/>
        <w:spacing w:after="100" w:before="200"/>
      </w:pPr>
      <w:r>
        <w:rPr>
          <w:rFonts w:ascii="Calibri" w:cs="Calibri" w:eastAsia="Calibri" w:hAnsi="Calibri"/>
          <w:b/>
          <w:bCs/>
          <w:color w:val="333333"/>
          <w:sz w:val="22"/>
          <w:szCs w:val="22"/>
        </w:rPr>
        <w:t xml:space="preserve">In scope</w:t>
      </w:r>
    </w:p>
    <w:p>
      <w:pPr>
        <w:pStyle w:val="ListParagraph"/>
        <w:numPr>
          <w:ilvl w:val="0"/>
          <w:numId w:val="2"/>
        </w:numPr>
        <w:spacing w:after="80" w:line="270"/>
      </w:pPr>
      <w:r>
        <w:rPr>
          <w:rFonts w:ascii="Calibri" w:cs="Calibri" w:eastAsia="Calibri" w:hAnsi="Calibri"/>
          <w:sz w:val="21"/>
          <w:szCs w:val="21"/>
        </w:rPr>
        <w:t xml:space="preserve">Chat API and Chat agent responses</w:t>
      </w:r>
    </w:p>
    <w:p>
      <w:pPr>
        <w:pStyle w:val="ListParagraph"/>
        <w:numPr>
          <w:ilvl w:val="0"/>
          <w:numId w:val="2"/>
        </w:numPr>
        <w:spacing w:after="80" w:line="270"/>
      </w:pPr>
      <w:r>
        <w:rPr>
          <w:rFonts w:ascii="Calibri" w:cs="Calibri" w:eastAsia="Calibri" w:hAnsi="Calibri"/>
          <w:sz w:val="21"/>
          <w:szCs w:val="21"/>
        </w:rPr>
        <w:t xml:space="preserve">Agents (Agent Builder–created agents invoked via agent_id)</w:t>
      </w:r>
    </w:p>
    <w:p>
      <w:pPr>
        <w:pStyle w:val="ListParagraph"/>
        <w:numPr>
          <w:ilvl w:val="0"/>
          <w:numId w:val="2"/>
        </w:numPr>
        <w:spacing w:after="80" w:line="270"/>
      </w:pPr>
      <w:r>
        <w:rPr>
          <w:rFonts w:ascii="Calibri" w:cs="Calibri" w:eastAsia="Calibri" w:hAnsi="Calibri"/>
          <w:sz w:val="21"/>
          <w:szCs w:val="21"/>
        </w:rPr>
        <w:t xml:space="preserve">Actions (tool/action execution triggered by agents)</w:t>
      </w:r>
    </w:p>
    <w:p>
      <w:pPr>
        <w:pStyle w:val="Heading3"/>
        <w:spacing w:after="100" w:before="200"/>
      </w:pPr>
      <w:r>
        <w:rPr>
          <w:rFonts w:ascii="Calibri" w:cs="Calibri" w:eastAsia="Calibri" w:hAnsi="Calibri"/>
          <w:b/>
          <w:bCs/>
          <w:color w:val="333333"/>
          <w:sz w:val="22"/>
          <w:szCs w:val="22"/>
        </w:rPr>
        <w:t xml:space="preserve">Out of scope for this phase</w:t>
      </w:r>
    </w:p>
    <w:p>
      <w:pPr>
        <w:pStyle w:val="ListParagraph"/>
        <w:numPr>
          <w:ilvl w:val="0"/>
          <w:numId w:val="2"/>
        </w:numPr>
        <w:spacing w:after="80" w:line="270"/>
      </w:pPr>
      <w:r>
        <w:rPr>
          <w:rFonts w:ascii="Calibri" w:cs="Calibri" w:eastAsia="Calibri" w:hAnsi="Calibri"/>
          <w:sz w:val="21"/>
          <w:szCs w:val="21"/>
        </w:rPr>
        <w:t xml:space="preserve">Search API standalone evaluation</w:t>
      </w:r>
    </w:p>
    <w:p>
      <w:pPr>
        <w:pStyle w:val="ListParagraph"/>
        <w:numPr>
          <w:ilvl w:val="0"/>
          <w:numId w:val="2"/>
        </w:numPr>
        <w:spacing w:after="80" w:line="270"/>
      </w:pPr>
      <w:r>
        <w:rPr>
          <w:rFonts w:ascii="Calibri" w:cs="Calibri" w:eastAsia="Calibri" w:hAnsi="Calibri"/>
          <w:sz w:val="21"/>
          <w:szCs w:val="21"/>
        </w:rPr>
        <w:t xml:space="preserve">Indexing API</w:t>
      </w:r>
    </w:p>
    <w:p>
      <w:pPr>
        <w:pStyle w:val="ListParagraph"/>
        <w:numPr>
          <w:ilvl w:val="0"/>
          <w:numId w:val="2"/>
        </w:numPr>
        <w:spacing w:after="80" w:line="270"/>
      </w:pPr>
      <w:r>
        <w:rPr>
          <w:rFonts w:ascii="Calibri" w:cs="Calibri" w:eastAsia="Calibri" w:hAnsi="Calibri"/>
          <w:sz w:val="21"/>
          <w:szCs w:val="21"/>
        </w:rPr>
        <w:t xml:space="preserve">Connector-level evaluation</w:t>
      </w:r>
    </w:p>
    <w:p>
      <w:pPr>
        <w:pStyle w:val="ListParagraph"/>
        <w:numPr>
          <w:ilvl w:val="0"/>
          <w:numId w:val="2"/>
        </w:numPr>
        <w:spacing w:after="80" w:line="270"/>
      </w:pPr>
      <w:r>
        <w:rPr>
          <w:rFonts w:ascii="Calibri" w:cs="Calibri" w:eastAsia="Calibri" w:hAnsi="Calibri"/>
          <w:sz w:val="21"/>
          <w:szCs w:val="21"/>
        </w:rPr>
        <w:t xml:space="preserve">Governance/permissions-layer features</w:t>
      </w:r>
    </w:p>
    <w:p>
      <w:pPr>
        <w:spacing w:after="140" w:line="276"/>
      </w:pPr>
      <w:r>
        <w:rPr>
          <w:rFonts w:ascii="Calibri" w:cs="Calibri" w:eastAsia="Calibri" w:hAnsi="Calibri"/>
          <w:sz w:val="21"/>
          <w:szCs w:val="21"/>
        </w:rPr>
        <w:t xml:space="preserve">These may be added as a later phase if the assessment expands.</w:t>
      </w:r>
    </w:p>
    <w:p>
      <w:pPr>
        <w:pStyle w:val="Heading3"/>
        <w:spacing w:after="100" w:before="200"/>
      </w:pPr>
      <w:r>
        <w:rPr>
          <w:rFonts w:ascii="Calibri" w:cs="Calibri" w:eastAsia="Calibri" w:hAnsi="Calibri"/>
          <w:b/>
          <w:bCs/>
          <w:color w:val="333333"/>
          <w:sz w:val="22"/>
          <w:szCs w:val="22"/>
        </w:rPr>
        <w:t xml:space="preserve">Evaluation type</w:t>
      </w:r>
    </w:p>
    <w:p>
      <w:pPr>
        <w:spacing w:after="140" w:line="276"/>
      </w:pPr>
      <w:r>
        <w:rPr>
          <w:rFonts w:ascii="Calibri" w:cs="Calibri" w:eastAsia="Calibri" w:hAnsi="Calibri"/>
          <w:sz w:val="21"/>
          <w:szCs w:val="21"/>
        </w:rPr>
        <w:t xml:space="preserve">A one-time evaluation of current capability across all three surfaces. It is not yet a recurring regression suite, but Golden sets and harness logic are structured to convert into one without a rebuild.</w:t>
      </w:r>
    </w:p>
    <w:p>
      <w:pPr>
        <w:pStyle w:val="Heading1"/>
        <w:spacing w:after="160" w:before="360"/>
      </w:pPr>
      <w:r>
        <w:rPr>
          <w:rFonts w:ascii="Calibri" w:cs="Calibri" w:eastAsia="Calibri" w:hAnsi="Calibri"/>
          <w:b/>
          <w:bCs/>
          <w:color w:val="1F3A5F"/>
          <w:sz w:val="30"/>
          <w:szCs w:val="30"/>
        </w:rPr>
        <w:t xml:space="preserve">3. Resolved Findings Summary</w:t>
      </w:r>
    </w:p>
    <w:p>
      <w:pPr>
        <w:spacing w:after="140" w:line="276"/>
      </w:pPr>
      <w:r>
        <w:rPr>
          <w:rFonts w:ascii="Calibri" w:cs="Calibri" w:eastAsia="Calibri" w:hAnsi="Calibri"/>
          <w:sz w:val="21"/>
          <w:szCs w:val="21"/>
        </w:rPr>
        <w:t xml:space="preserve">The table below consolidates every condition and constraint confirmed against current provider documentation. Items marked RESOLVED require no further verification. Items marked CONDITIONAL or MANUAL BY DEFAULT gate specific metrics and must be checked against the target tenant before those metrics are attempted.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500"/>
      </w:tblGrid>
      <w:tr>
        <w:tc>
          <w:tcPr>
            <w:tcW w:type="dxa" w:w="3400"/>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Area</w:t>
            </w:r>
          </w:p>
        </w:tc>
        <w:tc>
          <w:tcPr>
            <w:tcW w:type="dxa" w:w="1600"/>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Status</w:t>
            </w:r>
          </w:p>
        </w:tc>
        <w:tc>
          <w:tcPr>
            <w:tcW w:type="dxa" w:w="4500"/>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Governing condition</w:t>
            </w:r>
          </w:p>
        </w:tc>
      </w:tr>
      <w:tr>
        <w:tc>
          <w:tcPr>
            <w:tcW w:type="dxa" w:w="34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Chat — chunk-level citations (Faithfulness, Contextual Precision, Contextual Recall)</w:t>
            </w:r>
          </w:p>
        </w:tc>
        <w:tc>
          <w:tcPr>
            <w:tcW w:type="dxa" w:w="2600"/>
            <w:shd w:fill="FFFFFF" w:val="clear"/>
            <w:tcMar>
              <w:top w:type="dxa" w:w="80"/>
              <w:left w:type="dxa" w:w="120"/>
              <w:bottom w:type="dxa" w:w="80"/>
              <w:right w:type="dxa" w:w="120"/>
            </w:tcMar>
          </w:tcPr>
          <w:p>
            <w:r>
              <w:rPr>
                <w:rFonts w:ascii="Calibri" w:cs="Calibri" w:eastAsia="Calibri" w:hAnsi="Calibri"/>
                <w:b/>
                <w:bCs/>
                <w:color w:val="B8860B"/>
                <w:sz w:val="20"/>
                <w:szCs w:val="20"/>
              </w:rPr>
              <w:t xml:space="preserve">CONDITIONAL</w:t>
            </w:r>
          </w:p>
        </w:tc>
        <w:tc>
          <w:tcPr>
            <w:tcW w:type="dxa" w:w="45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Available only if the deep-linked-citations beta is enabled on the target tenant AND requests explicitly set the agentic engine (agentConfig.agent = FAST or ADVANCED). Absent either condition, these metrics fall back to document-level grounding only.</w:t>
            </w:r>
          </w:p>
        </w:tc>
      </w:tr>
      <w:tr>
        <w:tc>
          <w:tcPr>
            <w:tcW w:type="dxa" w:w="34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Chat — answer relevancy, G-Eval / custom criteria</w:t>
            </w:r>
          </w:p>
        </w:tc>
        <w:tc>
          <w:tcPr>
            <w:tcW w:type="dxa" w:w="2600"/>
            <w:shd w:fill="FFFFFF" w:val="clear"/>
            <w:tcMar>
              <w:top w:type="dxa" w:w="80"/>
              <w:left w:type="dxa" w:w="120"/>
              <w:bottom w:type="dxa" w:w="80"/>
              <w:right w:type="dxa" w:w="120"/>
            </w:tcMar>
          </w:tcPr>
          <w:p>
            <w:r>
              <w:rPr>
                <w:rFonts w:ascii="Calibri" w:cs="Calibri" w:eastAsia="Calibri" w:hAnsi="Calibri"/>
                <w:b/>
                <w:bCs/>
                <w:color w:val="1E7B34"/>
                <w:sz w:val="20"/>
                <w:szCs w:val="20"/>
              </w:rPr>
              <w:t xml:space="preserve">AVAILABLE</w:t>
            </w:r>
          </w:p>
        </w:tc>
        <w:tc>
          <w:tcPr>
            <w:tcW w:type="dxa" w:w="45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No dependency on beta features or engine mode; usable against any Chat response.</w:t>
            </w:r>
          </w:p>
        </w:tc>
      </w:tr>
      <w:tr>
        <w:tc>
          <w:tcPr>
            <w:tcW w:type="dxa" w:w="34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Agents — task completion, tool correctness</w:t>
            </w:r>
          </w:p>
        </w:tc>
        <w:tc>
          <w:tcPr>
            <w:tcW w:type="dxa" w:w="2600"/>
            <w:shd w:fill="FFFFFF" w:val="clear"/>
            <w:tcMar>
              <w:top w:type="dxa" w:w="80"/>
              <w:left w:type="dxa" w:w="120"/>
              <w:bottom w:type="dxa" w:w="80"/>
              <w:right w:type="dxa" w:w="120"/>
            </w:tcMar>
          </w:tcPr>
          <w:p>
            <w:r>
              <w:rPr>
                <w:rFonts w:ascii="Calibri" w:cs="Calibri" w:eastAsia="Calibri" w:hAnsi="Calibri"/>
                <w:b/>
                <w:bCs/>
                <w:color w:val="B8860B"/>
                <w:sz w:val="20"/>
                <w:szCs w:val="20"/>
              </w:rPr>
              <w:t xml:space="preserve">CONDITIONAL</w:t>
            </w:r>
          </w:p>
        </w:tc>
        <w:tc>
          <w:tcPr>
            <w:tcW w:type="dxa" w:w="45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Available only if OTLP trace export is configured in the Admin Console before evaluation begins. The in-product Debug view is UI-only and not queryable via API.</w:t>
            </w:r>
          </w:p>
        </w:tc>
      </w:tr>
      <w:tr>
        <w:tc>
          <w:tcPr>
            <w:tcW w:type="dxa" w:w="34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Actions — side-effect verification</w:t>
            </w:r>
          </w:p>
        </w:tc>
        <w:tc>
          <w:tcPr>
            <w:tcW w:type="dxa" w:w="2600"/>
            <w:shd w:fill="FFFFFF" w:val="clear"/>
            <w:tcMar>
              <w:top w:type="dxa" w:w="80"/>
              <w:left w:type="dxa" w:w="120"/>
              <w:bottom w:type="dxa" w:w="80"/>
              <w:right w:type="dxa" w:w="120"/>
            </w:tcMar>
          </w:tcPr>
          <w:p>
            <w:r>
              <w:rPr>
                <w:rFonts w:ascii="Calibri" w:cs="Calibri" w:eastAsia="Calibri" w:hAnsi="Calibri"/>
                <w:b/>
                <w:bCs/>
                <w:color w:val="B0392C"/>
                <w:sz w:val="20"/>
                <w:szCs w:val="20"/>
              </w:rPr>
              <w:t xml:space="preserve">MANUAL BY DEFAULT</w:t>
            </w:r>
          </w:p>
        </w:tc>
        <w:tc>
          <w:tcPr>
            <w:tcW w:type="dxa" w:w="45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No dry-run or simulate mode exists for write tools. Every write-tool call is a real external-system operation; only a human-confirmation pause is available, not a simulation.</w:t>
            </w:r>
          </w:p>
        </w:tc>
      </w:tr>
      <w:tr>
        <w:tc>
          <w:tcPr>
            <w:tcW w:type="dxa" w:w="34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Token scoping</w:t>
            </w:r>
          </w:p>
        </w:tc>
        <w:tc>
          <w:tcPr>
            <w:tcW w:type="dxa" w:w="2600"/>
            <w:shd w:fill="FFFFFF" w:val="clear"/>
            <w:tcMar>
              <w:top w:type="dxa" w:w="80"/>
              <w:left w:type="dxa" w:w="120"/>
              <w:bottom w:type="dxa" w:w="80"/>
              <w:right w:type="dxa" w:w="120"/>
            </w:tcMar>
          </w:tcPr>
          <w:p>
            <w:r>
              <w:rPr>
                <w:rFonts w:ascii="Calibri" w:cs="Calibri" w:eastAsia="Calibri" w:hAnsi="Calibri"/>
                <w:b/>
                <w:bCs/>
                <w:color w:val="1E7B34"/>
                <w:sz w:val="20"/>
                <w:szCs w:val="20"/>
              </w:rPr>
              <w:t xml:space="preserve">RESOLVED</w:t>
            </w:r>
          </w:p>
        </w:tc>
        <w:tc>
          <w:tcPr>
            <w:tcW w:type="dxa" w:w="45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 single API token carrying agents, chat, tools (and search, if agents perform searches) covers all three surfaces.</w:t>
            </w:r>
          </w:p>
        </w:tc>
      </w:tr>
      <w:tr>
        <w:tc>
          <w:tcPr>
            <w:tcW w:type="dxa" w:w="34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Throughput / rate limits</w:t>
            </w:r>
          </w:p>
        </w:tc>
        <w:tc>
          <w:tcPr>
            <w:tcW w:type="dxa" w:w="2600"/>
            <w:shd w:fill="FFFFFF" w:val="clear"/>
            <w:tcMar>
              <w:top w:type="dxa" w:w="80"/>
              <w:left w:type="dxa" w:w="120"/>
              <w:bottom w:type="dxa" w:w="80"/>
              <w:right w:type="dxa" w:w="120"/>
            </w:tcMar>
          </w:tcPr>
          <w:p>
            <w:r>
              <w:rPr>
                <w:rFonts w:ascii="Calibri" w:cs="Calibri" w:eastAsia="Calibri" w:hAnsi="Calibri"/>
                <w:b/>
                <w:bCs/>
                <w:color w:val="1E7B34"/>
                <w:sz w:val="20"/>
                <w:szCs w:val="20"/>
              </w:rPr>
              <w:t xml:space="preserve">RESOLVED</w:t>
            </w:r>
          </w:p>
        </w:tc>
        <w:tc>
          <w:tcPr>
            <w:tcW w:type="dxa" w:w="45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No evaluation-volume cap exists; the binding constraint is the agent-run endpoint ceiling of ~0.5 requests/second (≈30/minute). Chat and Tools endpoints allow far higher throughput per token.</w:t>
            </w:r>
          </w:p>
        </w:tc>
      </w:tr>
      <w:tr>
        <w:tc>
          <w:tcPr>
            <w:tcW w:type="dxa" w:w="34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Connector / data provisioning</w:t>
            </w:r>
          </w:p>
        </w:tc>
        <w:tc>
          <w:tcPr>
            <w:tcW w:type="dxa" w:w="2600"/>
            <w:shd w:fill="FFFFFF" w:val="clear"/>
            <w:tcMar>
              <w:top w:type="dxa" w:w="80"/>
              <w:left w:type="dxa" w:w="120"/>
              <w:bottom w:type="dxa" w:w="80"/>
              <w:right w:type="dxa" w:w="120"/>
            </w:tcMar>
          </w:tcPr>
          <w:p>
            <w:r>
              <w:rPr>
                <w:rFonts w:ascii="Calibri" w:cs="Calibri" w:eastAsia="Calibri" w:hAnsi="Calibri"/>
                <w:b/>
                <w:bCs/>
                <w:color w:val="1E7B34"/>
                <w:sz w:val="20"/>
                <w:szCs w:val="20"/>
              </w:rPr>
              <w:t xml:space="preserve">RESOLVED</w:t>
            </w:r>
          </w:p>
        </w:tc>
        <w:tc>
          <w:tcPr>
            <w:tcW w:type="dxa" w:w="45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Connectors are not attached by default and must be added and indexed explicitly in the Admin Console before Golden construction; indexing time should be scheduled as lead time, not assumed instantaneous.</w:t>
            </w:r>
          </w:p>
        </w:tc>
      </w:tr>
      <w:tr>
        <w:tc>
          <w:tcPr>
            <w:tcW w:type="dxa" w:w="34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DeepEval local isolation</w:t>
            </w:r>
          </w:p>
        </w:tc>
        <w:tc>
          <w:tcPr>
            <w:tcW w:type="dxa" w:w="2600"/>
            <w:shd w:fill="FFFFFF" w:val="clear"/>
            <w:tcMar>
              <w:top w:type="dxa" w:w="80"/>
              <w:left w:type="dxa" w:w="120"/>
              <w:bottom w:type="dxa" w:w="80"/>
              <w:right w:type="dxa" w:w="120"/>
            </w:tcMar>
          </w:tcPr>
          <w:p>
            <w:r>
              <w:rPr>
                <w:rFonts w:ascii="Calibri" w:cs="Calibri" w:eastAsia="Calibri" w:hAnsi="Calibri"/>
                <w:b/>
                <w:bCs/>
                <w:color w:val="1E7B34"/>
                <w:sz w:val="20"/>
                <w:szCs w:val="20"/>
              </w:rPr>
              <w:t xml:space="preserve">RESOLVED</w:t>
            </w:r>
          </w:p>
        </w:tc>
        <w:tc>
          <w:tcPr>
            <w:tcW w:type="dxa" w:w="45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Fully local-first by design. With DEEPEVAL_TELEMETRY_OPT_OUT set and no CONFIDENT_API_KEY, the only outbound network call in a metrics run is to the configured LLM-judge provider.</w:t>
            </w:r>
          </w:p>
        </w:tc>
      </w:tr>
    </w:tbl>
    <w:p>
      <w:pPr>
        <w:pStyle w:val="Heading1"/>
        <w:spacing w:after="160" w:before="360"/>
      </w:pPr>
      <w:r>
        <w:rPr>
          <w:rFonts w:ascii="Calibri" w:cs="Calibri" w:eastAsia="Calibri" w:hAnsi="Calibri"/>
          <w:b/>
          <w:bCs/>
          <w:color w:val="1F3A5F"/>
          <w:sz w:val="30"/>
          <w:szCs w:val="30"/>
        </w:rPr>
        <w:t xml:space="preserve">4. Phase 0 — Access &amp; Environment Setup (blocking, do first)</w:t>
      </w:r>
    </w:p>
    <w:p>
      <w:pPr>
        <w:pStyle w:val="ListParagraph"/>
        <w:numPr>
          <w:ilvl w:val="0"/>
          <w:numId w:val="3"/>
        </w:numPr>
        <w:spacing w:after="90" w:line="270"/>
      </w:pPr>
      <w:r>
        <w:rPr>
          <w:rFonts w:ascii="Calibri" w:cs="Calibri" w:eastAsia="Calibri" w:hAnsi="Calibri"/>
          <w:sz w:val="21"/>
          <w:szCs w:val="21"/>
        </w:rPr>
        <w:t xml:space="preserve">Confirm whether the evaluation instance will be dedicated or shared — this determines what real data can appear in Goldens.</w:t>
      </w:r>
    </w:p>
    <w:p>
      <w:pPr>
        <w:pStyle w:val="ListParagraph"/>
        <w:numPr>
          <w:ilvl w:val="0"/>
          <w:numId w:val="3"/>
        </w:numPr>
        <w:spacing w:after="90" w:line="270"/>
      </w:pPr>
      <w:r>
        <w:rPr>
          <w:rFonts w:ascii="Calibri" w:cs="Calibri" w:eastAsia="Calibri" w:hAnsi="Calibri"/>
          <w:sz w:val="21"/>
          <w:szCs w:val="21"/>
        </w:rPr>
        <w:t xml:space="preserve">Request a single API token scoped with agents, chat, and tools together — one token is sufficient across all three surfaces per current scope documentation; add search if agents will perform searches. Token scopes are fixed at creation, so plan the full set upfront.</w:t>
      </w:r>
    </w:p>
    <w:p>
      <w:pPr>
        <w:pStyle w:val="ListParagraph"/>
        <w:numPr>
          <w:ilvl w:val="0"/>
          <w:numId w:val="3"/>
        </w:numPr>
        <w:spacing w:after="90" w:line="270"/>
      </w:pPr>
      <w:r>
        <w:rPr>
          <w:rFonts w:ascii="Calibri" w:cs="Calibri" w:eastAsia="Calibri" w:hAnsi="Calibri"/>
          <w:sz w:val="21"/>
          <w:szCs w:val="21"/>
        </w:rPr>
        <w:t xml:space="preserve">Confirm Agent Builder access is included, since it is required to inspect or create agents for the Agents-surface evaluation.</w:t>
      </w:r>
    </w:p>
    <w:p>
      <w:pPr>
        <w:pStyle w:val="ListParagraph"/>
        <w:numPr>
          <w:ilvl w:val="0"/>
          <w:numId w:val="3"/>
        </w:numPr>
        <w:spacing w:after="90" w:line="270"/>
      </w:pPr>
      <w:r>
        <w:rPr>
          <w:rFonts w:ascii="Calibri" w:cs="Calibri" w:eastAsia="Calibri" w:hAnsi="Calibri"/>
          <w:sz w:val="21"/>
          <w:szCs w:val="21"/>
        </w:rPr>
        <w:t xml:space="preserve">Provision an OTLP (OpenTelemetry) trace-export endpoint and register it in the Admin Console before any Agents-surface work begins. This is the only programmatic path to step sequence, tool-call, and LLM-interaction data — the in-product Debug view is UI-only and not exportable via API. Treat OTLP setup as a blocking dependency for automated tool-correctness scoring, not an optional enhancement.</w:t>
      </w:r>
    </w:p>
    <w:p>
      <w:pPr>
        <w:pStyle w:val="ListParagraph"/>
        <w:numPr>
          <w:ilvl w:val="0"/>
          <w:numId w:val="3"/>
        </w:numPr>
        <w:spacing w:after="90" w:line="270"/>
      </w:pPr>
      <w:r>
        <w:rPr>
          <w:rFonts w:ascii="Calibri" w:cs="Calibri" w:eastAsia="Calibri" w:hAnsi="Calibri"/>
          <w:sz w:val="21"/>
          <w:szCs w:val="21"/>
        </w:rPr>
        <w:t xml:space="preserve">Explicitly provision connectors in the Admin Console. Connectors are not attached by default on a new instance — content must be added and indexed as a deliberate step, and indexing takes time after a connector is added. Schedule this in parallel with other Phase 0 items rather than after them, given the lead time involved.</w:t>
      </w:r>
    </w:p>
    <w:p>
      <w:pPr>
        <w:pStyle w:val="ListParagraph"/>
        <w:numPr>
          <w:ilvl w:val="0"/>
          <w:numId w:val="3"/>
        </w:numPr>
        <w:spacing w:after="90" w:line="270"/>
      </w:pPr>
      <w:r>
        <w:rPr>
          <w:rFonts w:ascii="Calibri" w:cs="Calibri" w:eastAsia="Calibri" w:hAnsi="Calibri"/>
          <w:sz w:val="21"/>
          <w:szCs w:val="21"/>
        </w:rPr>
        <w:t xml:space="preserve">Confirm current throughput limits directly: overall deployment limits, per-IP and per-token limits, and specifically the agent-run endpoint limit (materially lower than Chat or Tools endpoints), since this is the binding constraint on how many Agents Goldens can run per unit time — not a daily quota.</w:t>
      </w:r>
    </w:p>
    <w:p>
      <w:pPr>
        <w:pStyle w:val="ListParagraph"/>
        <w:numPr>
          <w:ilvl w:val="0"/>
          <w:numId w:val="3"/>
        </w:numPr>
        <w:spacing w:after="90" w:line="270"/>
      </w:pPr>
      <w:r>
        <w:rPr>
          <w:rFonts w:ascii="Calibri" w:cs="Calibri" w:eastAsia="Calibri" w:hAnsi="Calibri"/>
          <w:sz w:val="21"/>
          <w:szCs w:val="21"/>
        </w:rPr>
        <w:t xml:space="preserve">Confirm the DeepEval version in use and set the local-isolation environment variables before any run (see Section 9 for the exact settings and their effect).</w:t>
      </w:r>
    </w:p>
    <w:p>
      <w:pPr>
        <w:pStyle w:val="Heading1"/>
        <w:spacing w:after="160" w:before="360"/>
      </w:pPr>
      <w:r>
        <w:rPr>
          <w:rFonts w:ascii="Calibri" w:cs="Calibri" w:eastAsia="Calibri" w:hAnsi="Calibri"/>
          <w:b/>
          <w:bCs/>
          <w:color w:val="1F3A5F"/>
          <w:sz w:val="30"/>
          <w:szCs w:val="30"/>
        </w:rPr>
        <w:t xml:space="preserve">5. Phase 1 — Chat Surface Evaluation</w:t>
      </w:r>
    </w:p>
    <w:p>
      <w:pPr>
        <w:pStyle w:val="Heading2"/>
        <w:spacing w:after="120" w:before="280"/>
      </w:pPr>
      <w:r>
        <w:rPr>
          <w:rFonts w:ascii="Calibri" w:cs="Calibri" w:eastAsia="Calibri" w:hAnsi="Calibri"/>
          <w:b/>
          <w:bCs/>
          <w:color w:val="2E6F8E"/>
          <w:sz w:val="25"/>
          <w:szCs w:val="25"/>
        </w:rPr>
        <w:t xml:space="preserve">5.1 What to establish first</w:t>
      </w:r>
    </w:p>
    <w:p>
      <w:pPr>
        <w:pStyle w:val="ListParagraph"/>
        <w:numPr>
          <w:ilvl w:val="0"/>
          <w:numId w:val="3"/>
        </w:numPr>
        <w:spacing w:after="90" w:line="270"/>
      </w:pPr>
      <w:r>
        <w:rPr>
          <w:rFonts w:ascii="Calibri" w:cs="Calibri" w:eastAsia="Calibri" w:hAnsi="Calibri"/>
          <w:sz w:val="21"/>
          <w:szCs w:val="21"/>
        </w:rPr>
        <w:t xml:space="preserve">Confirm the current Chat API response shape (fields on messages[].fragments[]) directly against provider documentation rather than assuming sample code is complete.</w:t>
      </w:r>
    </w:p>
    <w:p>
      <w:pPr>
        <w:pStyle w:val="ListParagraph"/>
        <w:numPr>
          <w:ilvl w:val="0"/>
          <w:numId w:val="2"/>
        </w:numPr>
        <w:spacing w:after="100" w:line="270"/>
      </w:pPr>
      <w:r>
        <w:rPr>
          <w:rFonts w:ascii="Calibri" w:cs="Calibri" w:eastAsia="Calibri" w:hAnsi="Calibri"/>
          <w:b/>
          <w:bCs/>
          <w:sz w:val="21"/>
          <w:szCs w:val="21"/>
        </w:rPr>
        <w:t xml:space="preserve">Chunk-level citations: </w:t>
      </w:r>
      <w:r>
        <w:rPr>
          <w:rFonts w:ascii="Calibri" w:cs="Calibri" w:eastAsia="Calibri" w:hAnsi="Calibri"/>
          <w:sz w:val="21"/>
          <w:szCs w:val="21"/>
        </w:rPr>
        <w:t xml:space="preserve">confirmed to exist as a feature — deep-linked citations add a referenceRanges[].snippets[] array to inline citation fragments, upgrading citations from document-level to text-level. Two conditions gate access: (a) the feature must be enabled for the tenant in the Admin Console, since beta features are off by default and limited to eligible accounts, and (b) the API request must explicitly use the agentic engine (agentConfig.agent set to a supported mode) — a non-agentic chat call will not return snippets even if the beta is enabled tenant-wide. Both conditions must be verified together; either one being false means chunk-level metrics are unavailable regardless of the other.</w:t>
      </w:r>
    </w:p>
    <w:p>
      <w:pPr>
        <w:pStyle w:val="ListParagraph"/>
        <w:numPr>
          <w:ilvl w:val="0"/>
          <w:numId w:val="3"/>
        </w:numPr>
        <w:spacing w:after="90" w:line="270"/>
      </w:pPr>
      <w:r>
        <w:rPr>
          <w:rFonts w:ascii="Calibri" w:cs="Calibri" w:eastAsia="Calibri" w:hAnsi="Calibri"/>
          <w:sz w:val="21"/>
          <w:szCs w:val="21"/>
        </w:rPr>
        <w:t xml:space="preserve">Confirm whether citations are consistently returned for enterprise-grounded answers, or can legitimately be absent even for correct answers — this affects how missing-context cases are scored rather than treated as failures.</w:t>
      </w:r>
    </w:p>
    <w:p>
      <w:pPr>
        <w:pStyle w:val="Heading2"/>
        <w:spacing w:after="120" w:before="280"/>
      </w:pPr>
      <w:r>
        <w:rPr>
          <w:rFonts w:ascii="Calibri" w:cs="Calibri" w:eastAsia="Calibri" w:hAnsi="Calibri"/>
          <w:b/>
          <w:bCs/>
          <w:color w:val="2E6F8E"/>
          <w:sz w:val="25"/>
          <w:szCs w:val="25"/>
        </w:rPr>
        <w:t xml:space="preserve">5.2 Metrics usable without chunk-level context (always available)</w:t>
      </w:r>
    </w:p>
    <w:p>
      <w:pPr>
        <w:pStyle w:val="ListParagraph"/>
        <w:numPr>
          <w:ilvl w:val="0"/>
          <w:numId w:val="2"/>
        </w:numPr>
        <w:spacing w:after="80" w:line="270"/>
      </w:pPr>
      <w:r>
        <w:rPr>
          <w:rFonts w:ascii="Calibri" w:cs="Calibri" w:eastAsia="Calibri" w:hAnsi="Calibri"/>
          <w:sz w:val="21"/>
          <w:szCs w:val="21"/>
        </w:rPr>
        <w:t xml:space="preserve">Answer relevancy — does the response address the query.</w:t>
      </w:r>
    </w:p>
    <w:p>
      <w:pPr>
        <w:pStyle w:val="ListParagraph"/>
        <w:numPr>
          <w:ilvl w:val="0"/>
          <w:numId w:val="2"/>
        </w:numPr>
        <w:spacing w:after="80" w:line="270"/>
      </w:pPr>
      <w:r>
        <w:rPr>
          <w:rFonts w:ascii="Calibri" w:cs="Calibri" w:eastAsia="Calibri" w:hAnsi="Calibri"/>
          <w:sz w:val="21"/>
          <w:szCs w:val="21"/>
        </w:rPr>
        <w:t xml:space="preserve">Custom criteria-based scoring (G-Eval style) — correctness against a reference answer, tone/policy adherence, completeness relative to an expected answer.</w:t>
      </w:r>
    </w:p>
    <w:p>
      <w:pPr>
        <w:pStyle w:val="Heading2"/>
        <w:spacing w:after="120" w:before="280"/>
      </w:pPr>
      <w:r>
        <w:rPr>
          <w:rFonts w:ascii="Calibri" w:cs="Calibri" w:eastAsia="Calibri" w:hAnsi="Calibri"/>
          <w:b/>
          <w:bCs/>
          <w:color w:val="2E6F8E"/>
          <w:sz w:val="25"/>
          <w:szCs w:val="25"/>
        </w:rPr>
        <w:t xml:space="preserve">5.3 Metrics usable only when chunk-level retrieval context is confirmed available</w:t>
      </w:r>
    </w:p>
    <w:p>
      <w:pPr>
        <w:pStyle w:val="ListParagraph"/>
        <w:numPr>
          <w:ilvl w:val="0"/>
          <w:numId w:val="2"/>
        </w:numPr>
        <w:spacing w:after="80" w:line="270"/>
      </w:pPr>
      <w:r>
        <w:rPr>
          <w:rFonts w:ascii="Calibri" w:cs="Calibri" w:eastAsia="Calibri" w:hAnsi="Calibri"/>
          <w:sz w:val="21"/>
          <w:szCs w:val="21"/>
        </w:rPr>
        <w:t xml:space="preserve">Faithfulness — is the answer grounded in what was actually retrieved.</w:t>
      </w:r>
    </w:p>
    <w:p>
      <w:pPr>
        <w:pStyle w:val="ListParagraph"/>
        <w:numPr>
          <w:ilvl w:val="0"/>
          <w:numId w:val="2"/>
        </w:numPr>
        <w:spacing w:after="80" w:line="270"/>
      </w:pPr>
      <w:r>
        <w:rPr>
          <w:rFonts w:ascii="Calibri" w:cs="Calibri" w:eastAsia="Calibri" w:hAnsi="Calibri"/>
          <w:sz w:val="21"/>
          <w:szCs w:val="21"/>
        </w:rPr>
        <w:t xml:space="preserve">Contextual precision — is the retrieved context ranked and relevant.</w:t>
      </w:r>
    </w:p>
    <w:p>
      <w:pPr>
        <w:pStyle w:val="ListParagraph"/>
        <w:numPr>
          <w:ilvl w:val="0"/>
          <w:numId w:val="2"/>
        </w:numPr>
        <w:spacing w:after="80" w:line="270"/>
      </w:pPr>
      <w:r>
        <w:rPr>
          <w:rFonts w:ascii="Calibri" w:cs="Calibri" w:eastAsia="Calibri" w:hAnsi="Calibri"/>
          <w:sz w:val="21"/>
          <w:szCs w:val="21"/>
        </w:rPr>
        <w:t xml:space="preserve">Contextual recall — does the retrieved context contain everything needed to answer fully.</w:t>
      </w:r>
    </w:p>
    <w:p>
      <w:pPr>
        <w:spacing w:after="140" w:line="276"/>
      </w:pPr>
      <w:r>
        <w:rPr>
          <w:rFonts w:ascii="Calibri" w:cs="Calibri" w:eastAsia="Calibri" w:hAnsi="Calibri"/>
          <w:sz w:val="21"/>
          <w:szCs w:val="21"/>
        </w:rPr>
        <w:t xml:space="preserve">If either gating condition in 5.1 is not met, record this explicitly as a platform limitation in the evaluation report rather than skipping it silently — the inability to evaluate retrieval grounding without chunk-level access is itself a finding, not a gap in the evaluation.</w:t>
      </w:r>
    </w:p>
    <w:p>
      <w:pPr>
        <w:pStyle w:val="Heading2"/>
        <w:spacing w:after="120" w:before="280"/>
      </w:pPr>
      <w:r>
        <w:rPr>
          <w:rFonts w:ascii="Calibri" w:cs="Calibri" w:eastAsia="Calibri" w:hAnsi="Calibri"/>
          <w:b/>
          <w:bCs/>
          <w:color w:val="2E6F8E"/>
          <w:sz w:val="25"/>
          <w:szCs w:val="25"/>
        </w:rPr>
        <w:t xml:space="preserve">5.4 Conversational / multi-turn evaluation</w:t>
      </w:r>
    </w:p>
    <w:p>
      <w:pPr>
        <w:pStyle w:val="ListParagraph"/>
        <w:numPr>
          <w:ilvl w:val="0"/>
          <w:numId w:val="2"/>
        </w:numPr>
        <w:spacing w:after="80" w:line="270"/>
      </w:pPr>
      <w:r>
        <w:rPr>
          <w:rFonts w:ascii="Calibri" w:cs="Calibri" w:eastAsia="Calibri" w:hAnsi="Calibri"/>
          <w:sz w:val="21"/>
          <w:szCs w:val="21"/>
        </w:rPr>
        <w:t xml:space="preserve">Since the Chat API supports a persisted conversation via a chat/session identifier, build a separate set of multi-turn Goldens (scripted conversations, not single queries).</w:t>
      </w:r>
    </w:p>
    <w:p>
      <w:pPr>
        <w:pStyle w:val="ListParagraph"/>
        <w:numPr>
          <w:ilvl w:val="0"/>
          <w:numId w:val="2"/>
        </w:numPr>
        <w:spacing w:after="80" w:line="270"/>
      </w:pPr>
      <w:r>
        <w:rPr>
          <w:rFonts w:ascii="Calibri" w:cs="Calibri" w:eastAsia="Calibri" w:hAnsi="Calibri"/>
          <w:sz w:val="21"/>
          <w:szCs w:val="21"/>
        </w:rPr>
        <w:t xml:space="preserve">Evaluate multi-turn-specific behaviors: retention of earlier context, handling of a topic switch, and correct use of a reset/new-conversation action.</w:t>
      </w:r>
    </w:p>
    <w:p>
      <w:pPr>
        <w:pStyle w:val="Heading1"/>
        <w:spacing w:after="160" w:before="360"/>
      </w:pPr>
      <w:r>
        <w:rPr>
          <w:rFonts w:ascii="Calibri" w:cs="Calibri" w:eastAsia="Calibri" w:hAnsi="Calibri"/>
          <w:b/>
          <w:bCs/>
          <w:color w:val="1F3A5F"/>
          <w:sz w:val="30"/>
          <w:szCs w:val="30"/>
        </w:rPr>
        <w:t xml:space="preserve">6. Phase 2 — Agents Surface Evaluation</w:t>
      </w:r>
    </w:p>
    <w:p>
      <w:pPr>
        <w:spacing w:after="140" w:line="276"/>
      </w:pPr>
      <w:r>
        <w:rPr>
          <w:rFonts w:ascii="Calibri" w:cs="Calibri" w:eastAsia="Calibri" w:hAnsi="Calibri"/>
          <w:sz w:val="21"/>
          <w:szCs w:val="21"/>
        </w:rPr>
        <w:t xml:space="preserve">Programmatic access to agent execution detail is confirmed available via OTLP trace export, configured in the Admin Console, delivering protobuf-encoded telemetry covering the full run lifecycle — agent execution, tool calls, and LLM interactions. This is distinct from the in-product Debug view, which remains a Preview/Builder UI feature for interactive troubleshooting only and has no export path. OTLP export must be set up before evaluation runs begin, since it is a live stream rather than a queryable history — traces must be captured as runs execute and correlated back to Golden task identifiers.</w:t>
      </w:r>
    </w:p>
    <w:p>
      <w:pPr>
        <w:pStyle w:val="ListParagraph"/>
        <w:numPr>
          <w:ilvl w:val="0"/>
          <w:numId w:val="3"/>
        </w:numPr>
        <w:spacing w:after="90" w:line="270"/>
      </w:pPr>
      <w:r>
        <w:rPr>
          <w:rFonts w:ascii="Calibri" w:cs="Calibri" w:eastAsia="Calibri" w:hAnsi="Calibri"/>
          <w:sz w:val="21"/>
          <w:szCs w:val="21"/>
        </w:rPr>
        <w:t xml:space="preserve">Configure an OTLP collector endpoint (even a lightweight one writing to local disk/JSON) and register it in the Admin Console ahead of Phase 2.</w:t>
      </w:r>
    </w:p>
    <w:p>
      <w:pPr>
        <w:pStyle w:val="ListParagraph"/>
        <w:numPr>
          <w:ilvl w:val="0"/>
          <w:numId w:val="3"/>
        </w:numPr>
        <w:spacing w:after="90" w:line="270"/>
      </w:pPr>
      <w:r>
        <w:rPr>
          <w:rFonts w:ascii="Calibri" w:cs="Calibri" w:eastAsia="Calibri" w:hAnsi="Calibri"/>
          <w:sz w:val="21"/>
          <w:szCs w:val="21"/>
        </w:rPr>
        <w:t xml:space="preserve">Build a separate Golden set specific to agents — the same query intent tested through a general Chat response versus through a purpose-built agent, to compare whether the agent materially improves task-specific accuracy over generic chat.</w:t>
      </w:r>
    </w:p>
    <w:p>
      <w:pPr>
        <w:pStyle w:val="ListParagraph"/>
        <w:numPr>
          <w:ilvl w:val="0"/>
          <w:numId w:val="3"/>
        </w:numPr>
        <w:spacing w:after="90" w:line="270"/>
      </w:pPr>
      <w:r>
        <w:rPr>
          <w:rFonts w:ascii="Calibri" w:cs="Calibri" w:eastAsia="Calibri" w:hAnsi="Calibri"/>
          <w:sz w:val="21"/>
          <w:szCs w:val="21"/>
        </w:rPr>
        <w:t xml:space="preserve">Evaluate agent-selection correctness where multiple agents exist — does the right agent get invoked for a given query, where that routing is in scope.</w:t>
      </w:r>
    </w:p>
    <w:p>
      <w:pPr>
        <w:pStyle w:val="Heading2"/>
        <w:spacing w:after="120" w:before="280"/>
      </w:pPr>
      <w:r>
        <w:rPr>
          <w:rFonts w:ascii="Calibri" w:cs="Calibri" w:eastAsia="Calibri" w:hAnsi="Calibri"/>
          <w:b/>
          <w:bCs/>
          <w:color w:val="2E6F8E"/>
          <w:sz w:val="25"/>
          <w:szCs w:val="25"/>
        </w:rPr>
        <w:t xml:space="preserve">6.1 Metrics to attempt</w:t>
      </w:r>
    </w:p>
    <w:p>
      <w:pPr>
        <w:pStyle w:val="ListParagraph"/>
        <w:numPr>
          <w:ilvl w:val="0"/>
          <w:numId w:val="2"/>
        </w:numPr>
        <w:spacing w:after="80" w:line="270"/>
      </w:pPr>
      <w:r>
        <w:rPr>
          <w:rFonts w:ascii="Calibri" w:cs="Calibri" w:eastAsia="Calibri" w:hAnsi="Calibri"/>
          <w:sz w:val="21"/>
          <w:szCs w:val="21"/>
        </w:rPr>
        <w:t xml:space="preserve">Task completion — did the agent's final state/output match the intended goal. Achievable directly from OTLP trace data.</w:t>
      </w:r>
    </w:p>
    <w:p>
      <w:pPr>
        <w:pStyle w:val="ListParagraph"/>
        <w:numPr>
          <w:ilvl w:val="0"/>
          <w:numId w:val="2"/>
        </w:numPr>
        <w:spacing w:after="80" w:line="270"/>
      </w:pPr>
      <w:r>
        <w:rPr>
          <w:rFonts w:ascii="Calibri" w:cs="Calibri" w:eastAsia="Calibri" w:hAnsi="Calibri"/>
          <w:sz w:val="21"/>
          <w:szCs w:val="21"/>
        </w:rPr>
        <w:t xml:space="preserve">Tool correctness — did it call the expected tool(s) with reasonable inputs. Achievable directly from OTLP trace data (tool-call spans are included in the export).</w:t>
      </w:r>
    </w:p>
    <w:p>
      <w:pPr>
        <w:pStyle w:val="ListParagraph"/>
        <w:numPr>
          <w:ilvl w:val="0"/>
          <w:numId w:val="2"/>
        </w:numPr>
        <w:spacing w:after="80" w:line="270"/>
      </w:pPr>
      <w:r>
        <w:rPr>
          <w:rFonts w:ascii="Calibri" w:cs="Calibri" w:eastAsia="Calibri" w:hAnsi="Calibri"/>
          <w:sz w:val="21"/>
          <w:szCs w:val="21"/>
        </w:rPr>
        <w:t xml:space="preserve">If OTLP setup is incomplete or trace correlation proves unreliable for a given run, fall back to output-only evaluation (answer relevancy, custom criteria) and flag this as a known blind spot for that portion of the Agents surface.</w:t>
      </w:r>
    </w:p>
    <w:p>
      <w:pPr>
        <w:pStyle w:val="Heading1"/>
        <w:spacing w:after="160" w:before="360"/>
      </w:pPr>
      <w:r>
        <w:rPr>
          <w:rFonts w:ascii="Calibri" w:cs="Calibri" w:eastAsia="Calibri" w:hAnsi="Calibri"/>
          <w:b/>
          <w:bCs/>
          <w:color w:val="1F3A5F"/>
          <w:sz w:val="30"/>
          <w:szCs w:val="30"/>
        </w:rPr>
        <w:t xml:space="preserve">7. Phase 3 — Actions Surface Evaluation</w:t>
      </w:r>
    </w:p>
    <w:p>
      <w:pPr>
        <w:spacing w:after="140" w:line="276"/>
      </w:pPr>
      <w:r>
        <w:rPr>
          <w:rFonts w:ascii="Calibri" w:cs="Calibri" w:eastAsia="Calibri" w:hAnsi="Calibri"/>
          <w:sz w:val="21"/>
          <w:szCs w:val="21"/>
        </w:rPr>
        <w:t xml:space="preserve">Confirmed directly: there is no dry-run, simulate, or no-op execution mode for the Tools API. Write tools (creating or updating a Jira ticket, sending a Slack message, sending an email, and similar) execute real operations against the external system. The only available softening is an optional human-confirmation pause available in the Glean web app before a write tool runs — this is an approval gate, not a simulation, and it delays rather than mocks the real call. Read tools (search, lookup, query) remain free of side effects and require no special handling.</w:t>
      </w:r>
    </w:p>
    <w:p>
      <w:pPr>
        <w:pStyle w:val="ListParagraph"/>
        <w:numPr>
          <w:ilvl w:val="0"/>
          <w:numId w:val="3"/>
        </w:numPr>
        <w:spacing w:after="90" w:line="270"/>
      </w:pPr>
      <w:r>
        <w:rPr>
          <w:rFonts w:ascii="Calibri" w:cs="Calibri" w:eastAsia="Calibri" w:hAnsi="Calibri"/>
          <w:sz w:val="21"/>
          <w:szCs w:val="21"/>
        </w:rPr>
        <w:t xml:space="preserve">Confirm what Actions concretely means in the current product — whether it is a distinct API surface from Agents or a capability agents invoke through the Tools API — against current documentation, since this has evolved across product versions.</w:t>
      </w:r>
    </w:p>
    <w:p>
      <w:pPr>
        <w:pStyle w:val="ListParagraph"/>
        <w:numPr>
          <w:ilvl w:val="0"/>
          <w:numId w:val="3"/>
        </w:numPr>
        <w:spacing w:after="90" w:line="270"/>
      </w:pPr>
      <w:r>
        <w:rPr>
          <w:rFonts w:ascii="Calibri" w:cs="Calibri" w:eastAsia="Calibri" w:hAnsi="Calibri"/>
          <w:sz w:val="21"/>
          <w:szCs w:val="21"/>
        </w:rPr>
        <w:t xml:space="preserve">Because no sandbox mode exists, plan and provision a dedicated, disposable test project or channel (a throwaway Jira project, a throwaway Slack channel, a test mailbox) before any write-tool Golden is run. Treat every write-tool Golden as inherently destructive-by-default unless explicitly routed to that disposable environment.</w:t>
      </w:r>
    </w:p>
    <w:p>
      <w:pPr>
        <w:pStyle w:val="ListParagraph"/>
        <w:numPr>
          <w:ilvl w:val="0"/>
          <w:numId w:val="3"/>
        </w:numPr>
        <w:spacing w:after="90" w:line="270"/>
      </w:pPr>
      <w:r>
        <w:rPr>
          <w:rFonts w:ascii="Calibri" w:cs="Calibri" w:eastAsia="Calibri" w:hAnsi="Calibri"/>
          <w:sz w:val="21"/>
          <w:szCs w:val="21"/>
        </w:rPr>
        <w:t xml:space="preserve">Define correctness criteria per action type up front: right action selected, right target system, right parameters, no unintended side effects.</w:t>
      </w:r>
    </w:p>
    <w:p>
      <w:pPr>
        <w:spacing w:after="140" w:line="276"/>
      </w:pPr>
      <w:r>
        <w:rPr>
          <w:rFonts w:ascii="Calibri" w:cs="Calibri" w:eastAsia="Calibri" w:hAnsi="Calibri"/>
          <w:sz w:val="21"/>
          <w:szCs w:val="21"/>
        </w:rPr>
        <w:t xml:space="preserve">Given the absence of a sandbox mode, this remains the least automatable surface. Plan for majority manual/human verification here, with DeepEval used only for the text-output portion of the interaction (for example, the agent's confirmation message to the user), not for the side effect itself.</w:t>
      </w:r>
    </w:p>
    <w:p>
      <w:pPr>
        <w:pStyle w:val="Heading1"/>
        <w:spacing w:after="160" w:before="360"/>
      </w:pPr>
      <w:r>
        <w:rPr>
          <w:rFonts w:ascii="Calibri" w:cs="Calibri" w:eastAsia="Calibri" w:hAnsi="Calibri"/>
          <w:b/>
          <w:bCs/>
          <w:color w:val="1F3A5F"/>
          <w:sz w:val="30"/>
          <w:szCs w:val="30"/>
        </w:rPr>
        <w:t xml:space="preserve">8. Golden Dataset Strategy</w:t>
      </w:r>
    </w:p>
    <w:p>
      <w:pPr>
        <w:pStyle w:val="ListParagraph"/>
        <w:numPr>
          <w:ilvl w:val="0"/>
          <w:numId w:val="3"/>
        </w:numPr>
        <w:spacing w:after="90" w:line="270"/>
      </w:pPr>
      <w:r>
        <w:rPr>
          <w:rFonts w:ascii="Calibri" w:cs="Calibri" w:eastAsia="Calibri" w:hAnsi="Calibri"/>
          <w:sz w:val="21"/>
          <w:szCs w:val="21"/>
        </w:rPr>
        <w:t xml:space="preserve">Source real, representative queries once connectors are provisioned and indexed — synthetic Goldens are a fallback, not the default, since retrieval-grounding metrics are meaningless against synthetic or toy data.</w:t>
      </w:r>
    </w:p>
    <w:p>
      <w:pPr>
        <w:pStyle w:val="ListParagraph"/>
        <w:numPr>
          <w:ilvl w:val="0"/>
          <w:numId w:val="3"/>
        </w:numPr>
        <w:spacing w:after="90" w:line="270"/>
      </w:pPr>
      <w:r>
        <w:rPr>
          <w:rFonts w:ascii="Calibri" w:cs="Calibri" w:eastAsia="Calibri" w:hAnsi="Calibri"/>
          <w:sz w:val="21"/>
          <w:szCs w:val="21"/>
        </w:rPr>
        <w:t xml:space="preserve">Build separate Golden sets per surface: Chat (single-turn), Chat (multi-turn), Agents (task-based), Actions (task-based with expected side effect).</w:t>
      </w:r>
    </w:p>
    <w:p>
      <w:pPr>
        <w:pStyle w:val="ListParagraph"/>
        <w:numPr>
          <w:ilvl w:val="0"/>
          <w:numId w:val="3"/>
        </w:numPr>
        <w:spacing w:after="90" w:line="270"/>
      </w:pPr>
      <w:r>
        <w:rPr>
          <w:rFonts w:ascii="Calibri" w:cs="Calibri" w:eastAsia="Calibri" w:hAnsi="Calibri"/>
          <w:sz w:val="21"/>
          <w:szCs w:val="21"/>
        </w:rPr>
        <w:t xml:space="preserve">For each Golden, capture at minimum: the query/task, an expected/reference answer or expected end-state, and — where retrieval context is confirmed available — the expected supporting source(s).</w:t>
      </w:r>
    </w:p>
    <w:p>
      <w:pPr>
        <w:pStyle w:val="ListParagraph"/>
        <w:numPr>
          <w:ilvl w:val="0"/>
          <w:numId w:val="3"/>
        </w:numPr>
        <w:spacing w:after="90" w:line="270"/>
      </w:pPr>
      <w:r>
        <w:rPr>
          <w:rFonts w:ascii="Calibri" w:cs="Calibri" w:eastAsia="Calibri" w:hAnsi="Calibri"/>
          <w:sz w:val="21"/>
          <w:szCs w:val="21"/>
        </w:rPr>
        <w:t xml:space="preserve">Keep the first pass small and deliberately manageable (a few dozen per surface) to validate the harness and metric feasibility before scaling up. Note that the agent-run throughput ceiling (~30 runs/minute) comfortably supports this scale; only a later, larger-scale pass would need explicit batching design around that limit.</w:t>
      </w:r>
    </w:p>
    <w:p>
      <w:pPr>
        <w:pStyle w:val="ListParagraph"/>
        <w:numPr>
          <w:ilvl w:val="0"/>
          <w:numId w:val="3"/>
        </w:numPr>
        <w:spacing w:after="90" w:line="270"/>
      </w:pPr>
      <w:r>
        <w:rPr>
          <w:rFonts w:ascii="Calibri" w:cs="Calibri" w:eastAsia="Calibri" w:hAnsi="Calibri"/>
          <w:sz w:val="21"/>
          <w:szCs w:val="21"/>
        </w:rPr>
        <w:t xml:space="preserve">Exclude any sensitive or regulated real data from Goldens unless the evaluation instance is confirmed isolated from production.</w:t>
      </w:r>
    </w:p>
    <w:p>
      <w:pPr>
        <w:pStyle w:val="Heading1"/>
        <w:spacing w:after="160" w:before="360"/>
      </w:pPr>
      <w:r>
        <w:rPr>
          <w:rFonts w:ascii="Calibri" w:cs="Calibri" w:eastAsia="Calibri" w:hAnsi="Calibri"/>
          <w:b/>
          <w:bCs/>
          <w:color w:val="1F3A5F"/>
          <w:sz w:val="30"/>
          <w:szCs w:val="30"/>
        </w:rPr>
        <w:t xml:space="preserve">9. DeepEval Local Execution Requirements</w:t>
      </w:r>
    </w:p>
    <w:p>
      <w:pPr>
        <w:spacing w:after="140" w:line="276"/>
      </w:pPr>
      <w:r>
        <w:rPr>
          <w:rFonts w:ascii="Calibri" w:cs="Calibri" w:eastAsia="Calibri" w:hAnsi="Calibri"/>
          <w:sz w:val="21"/>
          <w:szCs w:val="21"/>
        </w:rPr>
        <w:t xml:space="preserve">DeepEval is local-first by design: deepeval test run and evaluate() both run entirely offline aside from the LLM-judge call itself (for example, to OpenAI or Anthropic), which is unavoidable since these are LLM-as-judge metrics. No CONFIDENT_API_KEY is required to run evaluations, and cloud storage of results is strictly opt-in rather than a fallback — local and cloud runs otherwise produce identical results, with the key only adding a cloud upload on top. The settings below constitute a complete isolation checklist.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900"/>
      </w:tblGrid>
      <w:tr>
        <w:tc>
          <w:tcPr>
            <w:tcW w:type="dxa" w:w="2800"/>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Setting</w:t>
            </w:r>
          </w:p>
        </w:tc>
        <w:tc>
          <w:tcPr>
            <w:tcW w:type="dxa" w:w="2800"/>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c>
          <w:tcPr>
            <w:tcW w:type="dxa" w:w="3900"/>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Effect</w:t>
            </w:r>
          </w:p>
        </w:tc>
      </w:tr>
      <w:tr>
        <w:tc>
          <w:tcPr>
            <w:tcW w:type="dxa" w:w="28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DEEPEVAL_TELEMETRY_OPT_OUT</w:t>
            </w:r>
          </w:p>
        </w:tc>
        <w:tc>
          <w:tcPr>
            <w:tcW w:type="dxa" w:w="28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 (or true / yes / on / enabled)</w:t>
            </w:r>
          </w:p>
        </w:tc>
        <w:tc>
          <w:tcPr>
            <w:tcW w:type="dxa" w:w="39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Disables analytics telemetry — replaces the reporting backend with a no-op; also skips local .deepeval directory creation.</w:t>
            </w:r>
          </w:p>
        </w:tc>
      </w:tr>
      <w:tr>
        <w:tc>
          <w:tcPr>
            <w:tcW w:type="dxa" w:w="28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ERROR_REPORTING</w:t>
            </w:r>
          </w:p>
        </w:tc>
        <w:tc>
          <w:tcPr>
            <w:tcW w:type="dxa" w:w="28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unset (default)</w:t>
            </w:r>
          </w:p>
        </w:tc>
        <w:tc>
          <w:tcPr>
            <w:tcW w:type="dxa" w:w="39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Leaves error reporting uninitialized; it is strictly opt-in.</w:t>
            </w:r>
          </w:p>
        </w:tc>
      </w:tr>
      <w:tr>
        <w:tc>
          <w:tcPr>
            <w:tcW w:type="dxa" w:w="28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CONFIDENT_API_KEY</w:t>
            </w:r>
          </w:p>
        </w:tc>
        <w:tc>
          <w:tcPr>
            <w:tcW w:type="dxa" w:w="28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unset (default)</w:t>
            </w:r>
          </w:p>
        </w:tc>
        <w:tc>
          <w:tcPr>
            <w:tcW w:type="dxa" w:w="39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Prevents any results from being pushed to cloud storage; local and cloud runs otherwise produce identical results.</w:t>
            </w:r>
          </w:p>
        </w:tc>
      </w:tr>
      <w:tr>
        <w:tc>
          <w:tcPr>
            <w:tcW w:type="dxa" w:w="28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DEEPEVAL_RESULTS_FOLDER</w:t>
            </w:r>
          </w:p>
        </w:tc>
        <w:tc>
          <w:tcPr>
            <w:tcW w:type="dxa" w:w="28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 local path, e.g. ./results</w:t>
            </w:r>
          </w:p>
        </w:tc>
        <w:tc>
          <w:tcPr>
            <w:tcW w:type="dxa" w:w="39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Writes a timestamped JSON artifact per test run to disk for audit and reporting, with no cloud involvement.</w:t>
            </w:r>
          </w:p>
        </w:tc>
      </w:tr>
    </w:tbl>
    <w:p>
      <w:pPr>
        <w:spacing w:after="140" w:line="276"/>
      </w:pPr>
      <w:r>
        <w:rPr>
          <w:rFonts w:ascii="Calibri" w:cs="Calibri" w:eastAsia="Calibri" w:hAnsi="Calibri"/>
          <w:sz w:val="21"/>
          <w:szCs w:val="21"/>
        </w:rPr>
        <w:t xml:space="preserve">With DEEPEVAL_TELEMETRY_OPT_OUT set and no CONFIDENT_API_KEY configured, the only outbound network traffic during a metrics run is to the configured LLM-judge provider. This closes out the local-execution requirement in full; no further verification is needed on this point.</w:t>
      </w:r>
    </w:p>
    <w:p>
      <w:pPr>
        <w:pStyle w:val="Heading1"/>
        <w:spacing w:after="160" w:before="360"/>
      </w:pPr>
      <w:r>
        <w:rPr>
          <w:rFonts w:ascii="Calibri" w:cs="Calibri" w:eastAsia="Calibri" w:hAnsi="Calibri"/>
          <w:b/>
          <w:bCs/>
          <w:color w:val="1F3A5F"/>
          <w:sz w:val="30"/>
          <w:szCs w:val="30"/>
        </w:rPr>
        <w:t xml:space="preserve">10. Scoring Criteria</w:t>
      </w:r>
    </w:p>
    <w:p>
      <w:pPr>
        <w:pStyle w:val="ListParagraph"/>
        <w:numPr>
          <w:ilvl w:val="0"/>
          <w:numId w:val="3"/>
        </w:numPr>
        <w:spacing w:after="90" w:line="270"/>
      </w:pPr>
      <w:r>
        <w:rPr>
          <w:rFonts w:ascii="Calibri" w:cs="Calibri" w:eastAsia="Calibri" w:hAnsi="Calibri"/>
          <w:sz w:val="21"/>
          <w:szCs w:val="21"/>
        </w:rPr>
        <w:t xml:space="preserve">Define pass/fail or acceptable-score thresholds per metric before running the evaluation, not after seeing results, to avoid post-hoc rationalization.</w:t>
      </w:r>
    </w:p>
    <w:p>
      <w:pPr>
        <w:pStyle w:val="ListParagraph"/>
        <w:numPr>
          <w:ilvl w:val="0"/>
          <w:numId w:val="3"/>
        </w:numPr>
        <w:spacing w:after="90" w:line="270"/>
      </w:pPr>
      <w:r>
        <w:rPr>
          <w:rFonts w:ascii="Calibri" w:cs="Calibri" w:eastAsia="Calibri" w:hAnsi="Calibri"/>
          <w:sz w:val="21"/>
          <w:szCs w:val="21"/>
        </w:rPr>
        <w:t xml:space="preserve">Separate the final report into three explicit categories: (a) what was fully measurable with strong evidence, (b) what was partially measurable with caveats, (c) what could not be measured at all given current access or product limitations.</w:t>
      </w:r>
    </w:p>
    <w:p>
      <w:pPr>
        <w:spacing w:after="140" w:line="276"/>
      </w:pPr>
      <w:r>
        <w:rPr>
          <w:rFonts w:ascii="Calibri" w:cs="Calibri" w:eastAsia="Calibri" w:hAnsi="Calibri"/>
          <w:sz w:val="21"/>
          <w:szCs w:val="21"/>
        </w:rPr>
        <w:t xml:space="preserve">Category (c) is not a failure of the evaluation — it is itself a finding. For example, an inability to verify action correctness without a sandbox mode is a legitimate limitation to record, not a gap to apologize for.</w:t>
      </w:r>
    </w:p>
    <w:p>
      <w:pPr>
        <w:pStyle w:val="ListParagraph"/>
        <w:numPr>
          <w:ilvl w:val="0"/>
          <w:numId w:val="3"/>
        </w:numPr>
        <w:spacing w:after="90" w:line="270"/>
      </w:pPr>
      <w:r>
        <w:rPr>
          <w:rFonts w:ascii="Calibri" w:cs="Calibri" w:eastAsia="Calibri" w:hAnsi="Calibri"/>
          <w:sz w:val="21"/>
          <w:szCs w:val="21"/>
        </w:rPr>
        <w:t xml:space="preserve">Include a qualitative section for anything DeepEval cannot score numerically — for example, permission-awareness behavior, citation transparency, and latency/responsiveness — based on direct observation during testing.</w:t>
      </w:r>
    </w:p>
    <w:p>
      <w:pPr>
        <w:pStyle w:val="Heading1"/>
        <w:spacing w:after="160" w:before="360"/>
      </w:pPr>
      <w:r>
        <w:rPr>
          <w:rFonts w:ascii="Calibri" w:cs="Calibri" w:eastAsia="Calibri" w:hAnsi="Calibri"/>
          <w:b/>
          <w:bCs/>
          <w:color w:val="1F3A5F"/>
          <w:sz w:val="30"/>
          <w:szCs w:val="30"/>
        </w:rPr>
        <w:t xml:space="preserve">11. Execution Order (Summary)</w:t>
      </w:r>
    </w:p>
    <w:p>
      <w:pPr>
        <w:pStyle w:val="ListParagraph"/>
        <w:numPr>
          <w:ilvl w:val="0"/>
          <w:numId w:val="2"/>
        </w:numPr>
        <w:spacing w:after="80"/>
      </w:pPr>
      <w:r>
        <w:rPr>
          <w:rFonts w:ascii="Calibri" w:cs="Calibri" w:eastAsia="Calibri" w:hAnsi="Calibri"/>
          <w:sz w:val="21"/>
          <w:szCs w:val="21"/>
        </w:rPr>
        <w:t xml:space="preserve">Secure access, provision connectors and an OTLP endpoint, and confirm the exact capabilities available for the target tenant (Phase 0).</w:t>
      </w:r>
    </w:p>
    <w:p>
      <w:pPr>
        <w:pStyle w:val="ListParagraph"/>
        <w:numPr>
          <w:ilvl w:val="0"/>
          <w:numId w:val="2"/>
        </w:numPr>
        <w:spacing w:after="80"/>
      </w:pPr>
      <w:r>
        <w:rPr>
          <w:rFonts w:ascii="Calibri" w:cs="Calibri" w:eastAsia="Calibri" w:hAnsi="Calibri"/>
          <w:sz w:val="21"/>
          <w:szCs w:val="21"/>
        </w:rPr>
        <w:t xml:space="preserve">Verify current API and response schemas directly against provider documentation — do not proceed on assumption.</w:t>
      </w:r>
    </w:p>
    <w:p>
      <w:pPr>
        <w:pStyle w:val="ListParagraph"/>
        <w:numPr>
          <w:ilvl w:val="0"/>
          <w:numId w:val="2"/>
        </w:numPr>
        <w:spacing w:after="80"/>
      </w:pPr>
      <w:r>
        <w:rPr>
          <w:rFonts w:ascii="Calibri" w:cs="Calibri" w:eastAsia="Calibri" w:hAnsi="Calibri"/>
          <w:sz w:val="21"/>
          <w:szCs w:val="21"/>
        </w:rPr>
        <w:t xml:space="preserve">Run the Chat-surface evaluation first (lowest access dependency, highest confidence).</w:t>
      </w:r>
    </w:p>
    <w:p>
      <w:pPr>
        <w:pStyle w:val="ListParagraph"/>
        <w:numPr>
          <w:ilvl w:val="0"/>
          <w:numId w:val="2"/>
        </w:numPr>
        <w:spacing w:after="80"/>
      </w:pPr>
      <w:r>
        <w:rPr>
          <w:rFonts w:ascii="Calibri" w:cs="Calibri" w:eastAsia="Calibri" w:hAnsi="Calibri"/>
          <w:sz w:val="21"/>
          <w:szCs w:val="21"/>
        </w:rPr>
        <w:t xml:space="preserve">Run the Agents-surface evaluation once OTLP trace export is confirmed operational.</w:t>
      </w:r>
    </w:p>
    <w:p>
      <w:pPr>
        <w:pStyle w:val="ListParagraph"/>
        <w:numPr>
          <w:ilvl w:val="0"/>
          <w:numId w:val="2"/>
        </w:numPr>
        <w:spacing w:after="80"/>
      </w:pPr>
      <w:r>
        <w:rPr>
          <w:rFonts w:ascii="Calibri" w:cs="Calibri" w:eastAsia="Calibri" w:hAnsi="Calibri"/>
          <w:sz w:val="21"/>
          <w:szCs w:val="21"/>
        </w:rPr>
        <w:t xml:space="preserve">Run the Actions-surface evaluation last, exclusively in a disposable test project or channel.</w:t>
      </w:r>
    </w:p>
    <w:p>
      <w:pPr>
        <w:pStyle w:val="ListParagraph"/>
        <w:numPr>
          <w:ilvl w:val="0"/>
          <w:numId w:val="2"/>
        </w:numPr>
        <w:spacing w:after="200"/>
      </w:pPr>
      <w:r>
        <w:rPr>
          <w:rFonts w:ascii="Calibri" w:cs="Calibri" w:eastAsia="Calibri" w:hAnsi="Calibri"/>
          <w:sz w:val="21"/>
          <w:szCs w:val="21"/>
        </w:rPr>
        <w:t xml:space="preserve">Compile findings into the three-category report structure (measurable / partially measurable / unmeasurable).</w:t>
      </w:r>
    </w:p>
    <w:p>
      <w:pPr>
        <w:pStyle w:val="Heading1"/>
        <w:spacing w:after="160" w:before="360"/>
      </w:pPr>
      <w:r>
        <w:rPr>
          <w:rFonts w:ascii="Calibri" w:cs="Calibri" w:eastAsia="Calibri" w:hAnsi="Calibri"/>
          <w:b/>
          <w:bCs/>
          <w:color w:val="1F3A5F"/>
          <w:sz w:val="30"/>
          <w:szCs w:val="30"/>
        </w:rPr>
        <w:t xml:space="preserve">12. Open Risks to Track Throughout</w:t>
      </w:r>
    </w:p>
    <w:p>
      <w:pPr>
        <w:pStyle w:val="ListParagraph"/>
        <w:numPr>
          <w:ilvl w:val="0"/>
          <w:numId w:val="2"/>
        </w:numPr>
        <w:spacing w:after="100" w:line="270"/>
      </w:pPr>
      <w:r>
        <w:rPr>
          <w:rFonts w:ascii="Calibri" w:cs="Calibri" w:eastAsia="Calibri" w:hAnsi="Calibri"/>
          <w:b/>
          <w:bCs/>
          <w:sz w:val="21"/>
          <w:szCs w:val="21"/>
        </w:rPr>
        <w:t xml:space="preserve">Beta-tenant eligibility: </w:t>
      </w:r>
      <w:r>
        <w:rPr>
          <w:rFonts w:ascii="Calibri" w:cs="Calibri" w:eastAsia="Calibri" w:hAnsi="Calibri"/>
          <w:sz w:val="21"/>
          <w:szCs w:val="21"/>
        </w:rPr>
        <w:t xml:space="preserve">the deep-linked-citations beta is gated per account; confirm directly whether the target tenant is included in the rollout, since this is not resolvable from documentation alone and determines whether Section 5.3 metrics are reachable at all.</w:t>
      </w:r>
    </w:p>
    <w:p>
      <w:pPr>
        <w:pStyle w:val="ListParagraph"/>
        <w:numPr>
          <w:ilvl w:val="0"/>
          <w:numId w:val="2"/>
        </w:numPr>
        <w:spacing w:after="100" w:line="270"/>
      </w:pPr>
      <w:r>
        <w:rPr>
          <w:rFonts w:ascii="Calibri" w:cs="Calibri" w:eastAsia="Calibri" w:hAnsi="Calibri"/>
          <w:b/>
          <w:bCs/>
          <w:sz w:val="21"/>
          <w:szCs w:val="21"/>
        </w:rPr>
        <w:t xml:space="preserve">Feature availability by tier: </w:t>
      </w:r>
      <w:r>
        <w:rPr>
          <w:rFonts w:ascii="Calibri" w:cs="Calibri" w:eastAsia="Calibri" w:hAnsi="Calibri"/>
          <w:sz w:val="21"/>
          <w:szCs w:val="21"/>
        </w:rPr>
        <w:t xml:space="preserve">trace export, agentic-engine access, and other beta capabilities may differ between a trial/evaluation tier and a full paid tier — confirm explicitly so the evaluation does not unfairly penalize a tier limitation as a product limitation.</w:t>
      </w:r>
    </w:p>
    <w:p>
      <w:pPr>
        <w:pStyle w:val="ListParagraph"/>
        <w:numPr>
          <w:ilvl w:val="0"/>
          <w:numId w:val="2"/>
        </w:numPr>
        <w:spacing w:after="100" w:line="270"/>
      </w:pPr>
      <w:r>
        <w:rPr>
          <w:rFonts w:ascii="Calibri" w:cs="Calibri" w:eastAsia="Calibri" w:hAnsi="Calibri"/>
          <w:b/>
          <w:bCs/>
          <w:sz w:val="21"/>
          <w:szCs w:val="21"/>
        </w:rPr>
        <w:t xml:space="preserve">Beta feature drift: </w:t>
      </w:r>
      <w:r>
        <w:rPr>
          <w:rFonts w:ascii="Calibri" w:cs="Calibri" w:eastAsia="Calibri" w:hAnsi="Calibri"/>
          <w:sz w:val="21"/>
          <w:szCs w:val="21"/>
        </w:rPr>
        <w:t xml:space="preserve">beta features may change or be deprecated mid-evaluation; re-check status at the start of each phase, not only once at the outset.</w:t>
      </w:r>
    </w:p>
    <w:p>
      <w:pPr>
        <w:pStyle w:val="ListParagraph"/>
        <w:numPr>
          <w:ilvl w:val="0"/>
          <w:numId w:val="2"/>
        </w:numPr>
        <w:spacing w:after="100" w:line="270"/>
      </w:pPr>
      <w:r>
        <w:rPr>
          <w:rFonts w:ascii="Calibri" w:cs="Calibri" w:eastAsia="Calibri" w:hAnsi="Calibri"/>
          <w:b/>
          <w:bCs/>
          <w:sz w:val="21"/>
          <w:szCs w:val="21"/>
        </w:rPr>
        <w:t xml:space="preserve">Synthetic-data caveat: </w:t>
      </w:r>
      <w:r>
        <w:rPr>
          <w:rFonts w:ascii="Calibri" w:cs="Calibri" w:eastAsia="Calibri" w:hAnsi="Calibri"/>
          <w:sz w:val="21"/>
          <w:szCs w:val="21"/>
        </w:rPr>
        <w:t xml:space="preserve">any evaluation conclusion drawn from a synthetic or minimal dataset should be labeled indicative only, not equivalent to production-scale confidence.</w:t>
      </w:r>
    </w:p>
    <w:p>
      <w:pPr>
        <w:pStyle w:val="ListParagraph"/>
        <w:numPr>
          <w:ilvl w:val="0"/>
          <w:numId w:val="2"/>
        </w:numPr>
        <w:spacing w:after="100" w:line="270"/>
      </w:pPr>
      <w:r>
        <w:rPr>
          <w:rFonts w:ascii="Calibri" w:cs="Calibri" w:eastAsia="Calibri" w:hAnsi="Calibri"/>
          <w:b/>
          <w:bCs/>
          <w:sz w:val="21"/>
          <w:szCs w:val="21"/>
        </w:rPr>
        <w:t xml:space="preserve">OTLP setup lead time: </w:t>
      </w:r>
      <w:r>
        <w:rPr>
          <w:rFonts w:ascii="Calibri" w:cs="Calibri" w:eastAsia="Calibri" w:hAnsi="Calibri"/>
          <w:sz w:val="21"/>
          <w:szCs w:val="21"/>
        </w:rPr>
        <w:t xml:space="preserve">the OTLP collector and Admin Console registration are a new dependency relative to earlier assumptions; do not assume this is zero-effort to stand up ahead of Phase 2.</w:t>
      </w:r>
    </w:p>
    <w:p>
      <w:pPr>
        <w:pBdr>
          <w:bottom w:val="single" w:color="CCCCCC" w:sz="6" w:space="1"/>
        </w:pBdr>
        <w:spacing w:after="220" w:before="120"/>
      </w:pPr>
      <w:r>
        <w:t xml:space="preserve"/>
      </w:r>
    </w:p>
    <w:p>
      <w:pPr>
        <w:spacing w:before="100"/>
      </w:pPr>
      <w:r>
        <w:rPr>
          <w:rFonts w:ascii="Calibri" w:cs="Calibri" w:eastAsia="Calibri" w:hAnsi="Calibri"/>
          <w:i/>
          <w:iCs/>
          <w:color w:val="777777"/>
          <w:sz w:val="18"/>
          <w:szCs w:val="18"/>
        </w:rPr>
        <w:t xml:space="preserve">All conditions above reflect current provider documentation and are subject to re-verification at execution time.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2026-08-03T09:56:28.729Z</dcterms:created>
  <dcterms:modified xsi:type="dcterms:W3CDTF">2026-08-03T09:56:28.730Z</dcterms:modified>
</cp:coreProperties>
</file>

<file path=docProps/custom.xml><?xml version="1.0" encoding="utf-8"?>
<Properties xmlns="http://schemas.openxmlformats.org/officeDocument/2006/custom-properties" xmlns:vt="http://schemas.openxmlformats.org/officeDocument/2006/docPropsVTypes"/>
</file>