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36"/>
          <w:szCs w:val="36"/>
        </w:rPr>
        <w:t xml:space="preserve">Hospital Benchmarking: 15 Listed Indian Hospital Operators</w:t>
      </w:r>
    </w:p>
    <w:p>
      <w:pPr>
        <w:pBdr>
          <w:bottom w:val="single" w:color="1F3A5F" w:sz="8" w:space="6"/>
        </w:pBdr>
        <w:spacing w:after="240"/>
      </w:pPr>
      <w:r>
        <w:rPr>
          <w:rFonts w:ascii="Calibri" w:cs="Calibri" w:eastAsia="Calibri" w:hAnsi="Calibri"/>
          <w:color w:val="595959"/>
          <w:sz w:val="18"/>
          <w:szCs w:val="18"/>
        </w:rPr>
        <w:t xml:space="preserve">FY2025-26 (year ended 31 March 2026)  |  Prepared September 2026  |  Figures in ₹ crore unless stated</w:t>
      </w:r>
    </w:p>
    <w:p>
      <w:pPr>
        <w:pStyle w:val="Heading1"/>
        <w:spacing w:after="120" w:before="280"/>
      </w:pPr>
      <w:r>
        <w:rPr>
          <w:rFonts w:ascii="Calibri" w:cs="Calibri" w:eastAsia="Calibri" w:hAnsi="Calibri"/>
          <w:b/>
          <w:bCs/>
          <w:color w:val="1F3A5F"/>
          <w:sz w:val="28"/>
          <w:szCs w:val="28"/>
        </w:rPr>
        <w:t xml:space="preserve">1. Purpose and how to read this</w:t>
      </w:r>
    </w:p>
    <w:p>
      <w:pPr>
        <w:spacing w:after="120" w:line="276"/>
      </w:pPr>
      <w:r>
        <w:rPr>
          <w:rFonts w:ascii="Calibri" w:cs="Calibri" w:eastAsia="Calibri" w:hAnsi="Calibri"/>
          <w:sz w:val="21"/>
          <w:szCs w:val="21"/>
        </w:rPr>
        <w:t xml:space="preserve">This benchmark is built for a hospital management team that has to act on it: set occupancy and pricing targets, decide where to add beds, and understand why its margin sits where it does. Following the series frameworks, it compares hospitals by economic engine rather than by label, reports ranges rather than percentiles (no segment has the 20+ comparable entities percentiles need), and states every definition and data gap.</w:t>
      </w:r>
    </w:p>
    <w:p>
      <w:pPr>
        <w:spacing w:after="120" w:line="276"/>
      </w:pPr>
      <w:r>
        <w:rPr>
          <w:rFonts w:ascii="Calibri" w:cs="Calibri" w:eastAsia="Calibri" w:hAnsi="Calibri"/>
          <w:sz w:val="21"/>
          <w:szCs w:val="21"/>
        </w:rPr>
        <w:t xml:space="preserve">All 15 companies are listed, so every figure below traces to a results release, investor presentation, earnings call or annual-report disclosure for FY26. Superscript numbers point to the source list in Section 7. Figures marked </w:t>
      </w:r>
      <w:r>
        <w:rPr>
          <w:rFonts w:ascii="Calibri" w:cs="Calibri" w:eastAsia="Calibri" w:hAnsi="Calibri"/>
          <w:b/>
          <w:bCs/>
          <w:sz w:val="21"/>
          <w:szCs w:val="21"/>
        </w:rPr>
        <w:t xml:space="preserve">(d)</w:t>
      </w:r>
      <w:r>
        <w:rPr>
          <w:rFonts w:ascii="Calibri" w:cs="Calibri" w:eastAsia="Calibri" w:hAnsi="Calibri"/>
          <w:sz w:val="21"/>
          <w:szCs w:val="21"/>
        </w:rPr>
        <w:t xml:space="preserve"> are derived by us from disclosed numbers; the formula is given alongside.</w:t>
      </w:r>
    </w:p>
    <w:p>
      <w:pPr>
        <w:pStyle w:val="Heading1"/>
        <w:spacing w:after="120" w:before="280"/>
      </w:pPr>
      <w:r>
        <w:rPr>
          <w:rFonts w:ascii="Calibri" w:cs="Calibri" w:eastAsia="Calibri" w:hAnsi="Calibri"/>
          <w:b/>
          <w:bCs/>
          <w:color w:val="1F3A5F"/>
          <w:sz w:val="28"/>
          <w:szCs w:val="28"/>
        </w:rPr>
        <w:t xml:space="preserve">2. Peer set and segmentation</w:t>
      </w:r>
    </w:p>
    <w:p>
      <w:pPr>
        <w:spacing w:after="120" w:line="276"/>
      </w:pPr>
      <w:r>
        <w:rPr>
          <w:rFonts w:ascii="Calibri" w:cs="Calibri" w:eastAsia="Calibri" w:hAnsi="Calibri"/>
          <w:sz w:val="21"/>
          <w:szCs w:val="21"/>
        </w:rPr>
        <w:t xml:space="preserve">The 15 hospitals are split into three segments by operating model, because the same metric means different things in each: a metro quaternary chain earns through price and case mix, a regional chain through volume and cost, and a single-specialty chain through a narrow clinical engine with its own occupancy norms.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600"/>
        <w:gridCol w:w="2700"/>
        <w:gridCol w:w="2146"/>
      </w:tblGrid>
      <w:tr>
        <w:trPr>
          <w:tblHeader/>
        </w:trPr>
        <w:tc>
          <w:tcPr>
            <w:tcW w:type="dxa" w:w="230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Segment</w:t>
            </w:r>
          </w:p>
        </w:tc>
        <w:tc>
          <w:tcPr>
            <w:tcW w:type="dxa" w:w="260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Hospitals</w:t>
            </w:r>
          </w:p>
        </w:tc>
        <w:tc>
          <w:tcPr>
            <w:tcW w:type="dxa" w:w="270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Operating model</w:t>
            </w:r>
          </w:p>
        </w:tc>
        <w:tc>
          <w:tcPr>
            <w:tcW w:type="dxa" w:w="2146"/>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Metrics that carry the diagnosis</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6"/>
                <w:szCs w:val="16"/>
              </w:rPr>
              <w:t xml:space="preserve">A. National / metro tertiary chains (5)</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Apollo, Max, Fortis, Medanta, Narayana Health</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Large multi-city networks; high-acuity, quaternary case mix; international patients</w:t>
            </w:r>
          </w:p>
        </w:tc>
        <w:tc>
          <w:tcPr>
            <w:tcW w:type="dxa" w:w="21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ARPOB, case mix, ROCE, new-unit drag</w:t>
            </w:r>
          </w:p>
        </w:tc>
      </w:tr>
      <w:tr>
        <w:tc>
          <w:tcPr>
            <w:tcW w:type="dxa" w:w="2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6"/>
                <w:szCs w:val="16"/>
              </w:rPr>
              <w:t xml:space="preserve">B. Regional multi-specialty chains (6)</w:t>
            </w:r>
          </w:p>
        </w:tc>
        <w:tc>
          <w:tcPr>
            <w:tcW w:type="dxa" w:w="2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Aster DM, KIMS, Park Medi World, Jupiter, Yatharth, Artemis</w:t>
            </w:r>
          </w:p>
        </w:tc>
        <w:tc>
          <w:tcPr>
            <w:tcW w:type="dxa" w:w="2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Cluster-concentrated networks or flagship hospitals; wider range of price points</w:t>
            </w:r>
          </w:p>
        </w:tc>
        <w:tc>
          <w:tcPr>
            <w:tcW w:type="dxa" w:w="21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Occupancy, cost per bed-day, payer mix, receivable days</w:t>
            </w:r>
          </w:p>
        </w:tc>
      </w:tr>
      <w:t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6"/>
                <w:szCs w:val="16"/>
              </w:rPr>
              <w:t xml:space="preserve">C. Single-specialty chains (4)</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Rainbow (paediatrics/maternity), HCG (oncology), Dr Agarwal's (eye), Shalby (orthopaedics-led)</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One clinical engine; day-care or short-stay heavy in some cases</w:t>
            </w:r>
          </w:p>
        </w:tc>
        <w:tc>
          <w:tcPr>
            <w:tcW w:type="dxa" w:w="21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Specialty-specific throughput, margin, payer mix; occupancy only within model</w:t>
            </w:r>
          </w:p>
        </w:tc>
      </w:tr>
    </w:tbl>
    <w:p>
      <w:pPr>
        <w:spacing w:after="60"/>
      </w:pPr>
    </w:p>
    <w:p>
      <w:pPr>
        <w:pStyle w:val="Heading1"/>
        <w:spacing w:after="120" w:before="280"/>
      </w:pPr>
      <w:r>
        <w:rPr>
          <w:rFonts w:ascii="Calibri" w:cs="Calibri" w:eastAsia="Calibri" w:hAnsi="Calibri"/>
          <w:b/>
          <w:bCs/>
          <w:color w:val="1F3A5F"/>
          <w:sz w:val="28"/>
          <w:szCs w:val="28"/>
        </w:rPr>
        <w:t xml:space="preserve">3. Metric definitions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946"/>
      </w:tblGrid>
      <w:tr>
        <w:trPr>
          <w:tblHeader/>
        </w:trPr>
        <w:tc>
          <w:tcPr>
            <w:tcW w:type="dxa" w:w="220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Metric</w:t>
            </w:r>
          </w:p>
        </w:tc>
        <w:tc>
          <w:tcPr>
            <w:tcW w:type="dxa" w:w="460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Definition used</w:t>
            </w:r>
          </w:p>
        </w:tc>
        <w:tc>
          <w:tcPr>
            <w:tcW w:type="dxa" w:w="2946"/>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What a gap means</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6"/>
                <w:szCs w:val="16"/>
              </w:rPr>
              <w:t xml:space="preserve">Occupancy</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Occupied bed-days ÷ available bed-days, on each company's own bed basis (operational, census or capacity)</w:t>
            </w:r>
          </w:p>
        </w:tc>
        <w:tc>
          <w:tcPr>
            <w:tcW w:type="dxa" w:w="29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Volume or catchment problem, or new capacity still ramping</w:t>
            </w:r>
          </w:p>
        </w:tc>
      </w:tr>
      <w:tr>
        <w:tc>
          <w:tcPr>
            <w:tcW w:type="dxa" w:w="2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6"/>
                <w:szCs w:val="16"/>
              </w:rPr>
              <w:t xml:space="preserve">ARPOB (₹/day)</w:t>
            </w:r>
          </w:p>
        </w:tc>
        <w:tc>
          <w:tcPr>
            <w:tcW w:type="dxa" w:w="4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Revenue ÷ occupied bed-days, as reported. Fortis and Narayana report per annum; converted ÷ 365 (d)</w:t>
            </w:r>
          </w:p>
        </w:tc>
        <w:tc>
          <w:tcPr>
            <w:tcW w:type="dxa" w:w="29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Pricing, case mix, payer mix, length of stay</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6"/>
                <w:szCs w:val="16"/>
              </w:rPr>
              <w:t xml:space="preserve">Revenue per available bed-day (d)</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ARPOB × occupancy. Combines price and utilisation in one yield number</w:t>
            </w:r>
          </w:p>
        </w:tc>
        <w:tc>
          <w:tcPr>
            <w:tcW w:type="dxa" w:w="29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Whether the bed base is earning, regardless of which lever is weak</w:t>
            </w:r>
          </w:p>
        </w:tc>
      </w:tr>
      <w:tr>
        <w:tc>
          <w:tcPr>
            <w:tcW w:type="dxa" w:w="2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6"/>
                <w:szCs w:val="16"/>
              </w:rPr>
              <w:t xml:space="preserve">EBITDA margin</w:t>
            </w:r>
          </w:p>
        </w:tc>
        <w:tc>
          <w:tcPr>
            <w:tcW w:type="dxa" w:w="4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Operating EBITDA ÷ revenue, as reported by the company (post Ind AS 116 unless noted)</w:t>
            </w:r>
          </w:p>
        </w:tc>
        <w:tc>
          <w:tcPr>
            <w:tcW w:type="dxa" w:w="29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Cost structure and operating leverage</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6"/>
                <w:szCs w:val="16"/>
              </w:rPr>
              <w:t xml:space="preserve">ALOS</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Average length of stay in days, as reported</w:t>
            </w:r>
          </w:p>
        </w:tc>
        <w:tc>
          <w:tcPr>
            <w:tcW w:type="dxa" w:w="29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Clinical efficiency and bed turnover</w:t>
            </w:r>
          </w:p>
        </w:tc>
      </w:tr>
    </w:tbl>
    <w:p>
      <w:pPr>
        <w:spacing w:after="60"/>
      </w:pPr>
    </w:p>
    <w:p>
      <w:pPr>
        <w:pStyle w:val="Heading1"/>
        <w:spacing w:after="120" w:before="280"/>
      </w:pPr>
      <w:r>
        <w:rPr>
          <w:rFonts w:ascii="Calibri" w:cs="Calibri" w:eastAsia="Calibri" w:hAnsi="Calibri"/>
          <w:b/>
          <w:bCs/>
          <w:color w:val="1F3A5F"/>
          <w:sz w:val="28"/>
          <w:szCs w:val="28"/>
        </w:rPr>
        <w:t xml:space="preserve">4. Benchmark tables by segment</w:t>
      </w:r>
    </w:p>
    <w:p>
      <w:pPr>
        <w:pStyle w:val="Heading2"/>
        <w:spacing w:after="80" w:before="200"/>
      </w:pPr>
      <w:r>
        <w:rPr>
          <w:rFonts w:ascii="Calibri" w:cs="Calibri" w:eastAsia="Calibri" w:hAnsi="Calibri"/>
          <w:b/>
          <w:bCs/>
          <w:color w:val="1F3A5F"/>
          <w:sz w:val="23"/>
          <w:szCs w:val="23"/>
        </w:rPr>
        <w:t xml:space="preserve">Segment A: National / metro tertiary chains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1150"/>
        <w:gridCol w:w="900"/>
        <w:gridCol w:w="1350"/>
        <w:gridCol w:w="950"/>
        <w:gridCol w:w="1050"/>
        <w:gridCol w:w="1050"/>
        <w:gridCol w:w="600"/>
        <w:gridCol w:w="646"/>
      </w:tblGrid>
      <w:tr>
        <w:trPr>
          <w:tblHeader/>
        </w:trPr>
        <w:tc>
          <w:tcPr>
            <w:tcW w:type="dxa" w:w="20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Hospital</w:t>
            </w:r>
          </w:p>
        </w:tc>
        <w:tc>
          <w:tcPr>
            <w:tcW w:type="dxa" w:w="11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Revenue</w:t>
            </w:r>
          </w:p>
        </w:tc>
        <w:tc>
          <w:tcPr>
            <w:tcW w:type="dxa" w:w="90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EBITDA margin</w:t>
            </w:r>
          </w:p>
        </w:tc>
        <w:tc>
          <w:tcPr>
            <w:tcW w:type="dxa" w:w="13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Beds (basis)</w:t>
            </w:r>
          </w:p>
        </w:tc>
        <w:tc>
          <w:tcPr>
            <w:tcW w:type="dxa" w:w="9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Occupancy</w:t>
            </w:r>
          </w:p>
        </w:tc>
        <w:tc>
          <w:tcPr>
            <w:tcW w:type="dxa" w:w="10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ARPOB ₹/day</w:t>
            </w:r>
          </w:p>
        </w:tc>
        <w:tc>
          <w:tcPr>
            <w:tcW w:type="dxa" w:w="10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Rev/avail. bed-day (d)</w:t>
            </w:r>
          </w:p>
        </w:tc>
        <w:tc>
          <w:tcPr>
            <w:tcW w:type="dxa" w:w="60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ALOS</w:t>
            </w:r>
          </w:p>
        </w:tc>
        <w:tc>
          <w:tcPr>
            <w:tcW w:type="dxa" w:w="646"/>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Src</w:t>
            </w:r>
          </w:p>
        </w:tc>
      </w:tr>
      <w:tr>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5"/>
                <w:szCs w:val="15"/>
              </w:rPr>
              <w:t xml:space="preserve">Apollo (healthcare services)</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12,555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24.4%</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8,131 (operating)</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68% (Q4)</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Not reported*</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n.a.</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n.r.</w:t>
            </w:r>
          </w:p>
        </w:tc>
        <w:tc>
          <w:tcPr>
            <w:tcW w:type="dxa" w:w="6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1,2,3</w:t>
            </w:r>
          </w:p>
        </w:tc>
      </w:tr>
      <w:tr>
        <w:tc>
          <w:tcPr>
            <w:tcW w:type="dxa" w:w="2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5"/>
                <w:szCs w:val="15"/>
              </w:rPr>
              <w:t xml:space="preserve">Max Healthcare (network)</w:t>
            </w:r>
          </w:p>
        </w:tc>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10,065 (net)</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26.2%</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4,966 (operational)</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76%</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77,800</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59,128</w:t>
            </w:r>
          </w:p>
        </w:tc>
        <w:tc>
          <w:tcPr>
            <w:tcW w:type="dxa" w:w="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4.1</w:t>
            </w:r>
          </w:p>
        </w:tc>
        <w:tc>
          <w:tcPr>
            <w:tcW w:type="dxa" w:w="6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5</w:t>
            </w:r>
          </w:p>
        </w:tc>
      </w:tr>
      <w:tr>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5"/>
                <w:szCs w:val="15"/>
              </w:rPr>
              <w:t xml:space="preserve">Fortis (hospital business)</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7,773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22.2%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~6,100 (incl. O&amp;M)</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68%</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68,767 (d)</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46,762</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n.r.</w:t>
            </w:r>
          </w:p>
        </w:tc>
        <w:tc>
          <w:tcPr>
            <w:tcW w:type="dxa" w:w="6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6,7,8</w:t>
            </w:r>
          </w:p>
        </w:tc>
      </w:tr>
      <w:tr>
        <w:tc>
          <w:tcPr>
            <w:tcW w:type="dxa" w:w="2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5"/>
                <w:szCs w:val="15"/>
              </w:rPr>
              <w:t xml:space="preserve">Medanta (Global Health)</w:t>
            </w:r>
          </w:p>
        </w:tc>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4,509 (total income)</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24.2%</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3,665 (capacity)</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~62%</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66,550</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41,261</w:t>
            </w:r>
          </w:p>
        </w:tc>
        <w:tc>
          <w:tcPr>
            <w:tcW w:type="dxa" w:w="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n.r.</w:t>
            </w:r>
          </w:p>
        </w:tc>
        <w:tc>
          <w:tcPr>
            <w:tcW w:type="dxa" w:w="6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9,10</w:t>
            </w:r>
          </w:p>
        </w:tc>
      </w:tr>
      <w:tr>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5"/>
                <w:szCs w:val="15"/>
              </w:rPr>
              <w:t xml:space="preserve">Narayana Health (India)</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4,740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23.1%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5,451 (operational)</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Not disclosed</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49,041 (d)</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n.a.</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4.3</w:t>
            </w:r>
          </w:p>
        </w:tc>
        <w:tc>
          <w:tcPr>
            <w:tcW w:type="dxa" w:w="6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12,13</w:t>
            </w:r>
          </w:p>
        </w:tc>
      </w:tr>
    </w:tbl>
    <w:p>
      <w:pPr>
        <w:spacing w:after="160" w:line="276"/>
      </w:pPr>
      <w:r>
        <w:rPr>
          <w:rFonts w:ascii="Calibri" w:cs="Calibri" w:eastAsia="Calibri" w:hAnsi="Calibri"/>
          <w:i/>
          <w:iCs/>
          <w:color w:val="595959"/>
          <w:sz w:val="16"/>
          <w:szCs w:val="16"/>
        </w:rPr>
        <w:t xml:space="preserve">* Apollo stopped reporting ARPOB in FY26 and now reports average revenue per patient (₹1,87,208 in Q4 FY26), arguing ARPOB blends price, stay length and occupancy.³ ⁴ Fortis ARPOB = ₹2.51 Cr p.a. ÷ 365; Narayana = ₹17.9 Mn p.a. ÷ 365. Max revenue is the network basis, which includes partner facilities it does not consolidate.⁵</w:t>
      </w:r>
    </w:p>
    <w:p>
      <w:pPr>
        <w:pStyle w:val="Heading2"/>
        <w:spacing w:after="80" w:before="200"/>
      </w:pPr>
      <w:r>
        <w:rPr>
          <w:rFonts w:ascii="Calibri" w:cs="Calibri" w:eastAsia="Calibri" w:hAnsi="Calibri"/>
          <w:b/>
          <w:bCs/>
          <w:color w:val="1F3A5F"/>
          <w:sz w:val="23"/>
          <w:szCs w:val="23"/>
        </w:rPr>
        <w:t xml:space="preserve">Segment B: Regional multi-specialty chains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1150"/>
        <w:gridCol w:w="900"/>
        <w:gridCol w:w="1350"/>
        <w:gridCol w:w="950"/>
        <w:gridCol w:w="1050"/>
        <w:gridCol w:w="1050"/>
        <w:gridCol w:w="600"/>
        <w:gridCol w:w="646"/>
      </w:tblGrid>
      <w:tr>
        <w:trPr>
          <w:tblHeader/>
        </w:trPr>
        <w:tc>
          <w:tcPr>
            <w:tcW w:type="dxa" w:w="20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Hospital</w:t>
            </w:r>
          </w:p>
        </w:tc>
        <w:tc>
          <w:tcPr>
            <w:tcW w:type="dxa" w:w="11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Revenue</w:t>
            </w:r>
          </w:p>
        </w:tc>
        <w:tc>
          <w:tcPr>
            <w:tcW w:type="dxa" w:w="90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EBITDA margin</w:t>
            </w:r>
          </w:p>
        </w:tc>
        <w:tc>
          <w:tcPr>
            <w:tcW w:type="dxa" w:w="13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Beds (basis)</w:t>
            </w:r>
          </w:p>
        </w:tc>
        <w:tc>
          <w:tcPr>
            <w:tcW w:type="dxa" w:w="9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Occupancy</w:t>
            </w:r>
          </w:p>
        </w:tc>
        <w:tc>
          <w:tcPr>
            <w:tcW w:type="dxa" w:w="10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ARPOB ₹/day</w:t>
            </w:r>
          </w:p>
        </w:tc>
        <w:tc>
          <w:tcPr>
            <w:tcW w:type="dxa" w:w="10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Rev/avail. bed-day (d)</w:t>
            </w:r>
          </w:p>
        </w:tc>
        <w:tc>
          <w:tcPr>
            <w:tcW w:type="dxa" w:w="60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ALOS</w:t>
            </w:r>
          </w:p>
        </w:tc>
        <w:tc>
          <w:tcPr>
            <w:tcW w:type="dxa" w:w="646"/>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Src</w:t>
            </w:r>
          </w:p>
        </w:tc>
      </w:tr>
      <w:tr>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5"/>
                <w:szCs w:val="15"/>
              </w:rPr>
              <w:t xml:space="preserve">Aster DM (India, pre-merger)</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4,643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20.4%</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5,449 (capacity)</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61%</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51,800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31,598</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3.1</w:t>
            </w:r>
          </w:p>
        </w:tc>
        <w:tc>
          <w:tcPr>
            <w:tcW w:type="dxa" w:w="6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14,15</w:t>
            </w:r>
          </w:p>
        </w:tc>
      </w:tr>
      <w:tr>
        <w:tc>
          <w:tcPr>
            <w:tcW w:type="dxa" w:w="2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5"/>
                <w:szCs w:val="15"/>
              </w:rPr>
              <w:t xml:space="preserve">KIMS</w:t>
            </w:r>
          </w:p>
        </w:tc>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3,931</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21.1%</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4,852 (operational)</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50.5%</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44,644</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22,545</w:t>
            </w:r>
          </w:p>
        </w:tc>
        <w:tc>
          <w:tcPr>
            <w:tcW w:type="dxa" w:w="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n.r.</w:t>
            </w:r>
          </w:p>
        </w:tc>
        <w:tc>
          <w:tcPr>
            <w:tcW w:type="dxa" w:w="6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16,17</w:t>
            </w:r>
          </w:p>
        </w:tc>
      </w:tr>
      <w:tr>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5"/>
                <w:szCs w:val="15"/>
              </w:rPr>
              <w:t xml:space="preserve">Park Medi World</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1,679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26.5%</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3,610 (capacity)</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64.1%</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28,005</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17,951</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n.r.</w:t>
            </w:r>
          </w:p>
        </w:tc>
        <w:tc>
          <w:tcPr>
            <w:tcW w:type="dxa" w:w="6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19,20</w:t>
            </w:r>
          </w:p>
        </w:tc>
      </w:tr>
      <w:tr>
        <w:tc>
          <w:tcPr>
            <w:tcW w:type="dxa" w:w="2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5"/>
                <w:szCs w:val="15"/>
              </w:rPr>
              <w:t xml:space="preserve">Jupiter Life Line</w:t>
            </w:r>
          </w:p>
        </w:tc>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1,436</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22.9%</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1,248 (operational)</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61.2%</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67,700</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41,432</w:t>
            </w:r>
          </w:p>
        </w:tc>
        <w:tc>
          <w:tcPr>
            <w:tcW w:type="dxa" w:w="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3.87</w:t>
            </w:r>
          </w:p>
        </w:tc>
        <w:tc>
          <w:tcPr>
            <w:tcW w:type="dxa" w:w="6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21</w:t>
            </w:r>
          </w:p>
        </w:tc>
      </w:tr>
      <w:tr>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5"/>
                <w:szCs w:val="15"/>
              </w:rPr>
              <w:t xml:space="preserve">Yatharth</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1,207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24.2%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~2,555 (capacity)</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68%</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33,124</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22,524</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n.r.</w:t>
            </w:r>
          </w:p>
        </w:tc>
        <w:tc>
          <w:tcPr>
            <w:tcW w:type="dxa" w:w="6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22</w:t>
            </w:r>
          </w:p>
        </w:tc>
      </w:tr>
      <w:tr>
        <w:tc>
          <w:tcPr>
            <w:tcW w:type="dxa" w:w="2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5"/>
                <w:szCs w:val="15"/>
              </w:rPr>
              <w:t xml:space="preserve">Artemis (Gurugram)</w:t>
            </w:r>
          </w:p>
        </w:tc>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1,081</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20.2%</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~700 (capacity)</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63.0%</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82,435</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51,934</w:t>
            </w:r>
          </w:p>
        </w:tc>
        <w:tc>
          <w:tcPr>
            <w:tcW w:type="dxa" w:w="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n.r.</w:t>
            </w:r>
          </w:p>
        </w:tc>
        <w:tc>
          <w:tcPr>
            <w:tcW w:type="dxa" w:w="6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25</w:t>
            </w:r>
          </w:p>
        </w:tc>
      </w:tr>
    </w:tbl>
    <w:p>
      <w:pPr>
        <w:spacing w:after="160" w:line="276"/>
      </w:pPr>
      <w:r>
        <w:rPr>
          <w:rFonts w:ascii="Calibri" w:cs="Calibri" w:eastAsia="Calibri" w:hAnsi="Calibri"/>
          <w:i/>
          <w:iCs/>
          <w:color w:val="595959"/>
          <w:sz w:val="16"/>
          <w:szCs w:val="16"/>
        </w:rPr>
        <w:t xml:space="preserve">Aster's merger with Quality Care India (combined ~10,623 beds, ₹9,273 Cr proforma revenue) was expected to close in Q1 FY27; figures here are Aster standalone.¹⁴ Artemis EBITDA margin is consolidated (₹218 Cr on ₹1,081 Cr).</w:t>
      </w:r>
    </w:p>
    <w:p>
      <w:pPr>
        <w:pStyle w:val="Heading2"/>
        <w:spacing w:after="80" w:before="200"/>
      </w:pPr>
      <w:r>
        <w:rPr>
          <w:rFonts w:ascii="Calibri" w:cs="Calibri" w:eastAsia="Calibri" w:hAnsi="Calibri"/>
          <w:b/>
          <w:bCs/>
          <w:color w:val="1F3A5F"/>
          <w:sz w:val="23"/>
          <w:szCs w:val="23"/>
        </w:rPr>
        <w:t xml:space="preserve">Segment C: Single-specialty chains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50"/>
        <w:gridCol w:w="900"/>
        <w:gridCol w:w="1050"/>
        <w:gridCol w:w="1350"/>
        <w:gridCol w:w="950"/>
        <w:gridCol w:w="1050"/>
        <w:gridCol w:w="1050"/>
        <w:gridCol w:w="546"/>
      </w:tblGrid>
      <w:tr>
        <w:trPr>
          <w:tblHeader/>
        </w:trPr>
        <w:tc>
          <w:tcPr>
            <w:tcW w:type="dxa" w:w="150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Hospital</w:t>
            </w:r>
          </w:p>
        </w:tc>
        <w:tc>
          <w:tcPr>
            <w:tcW w:type="dxa" w:w="13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Specialty</w:t>
            </w:r>
          </w:p>
        </w:tc>
        <w:tc>
          <w:tcPr>
            <w:tcW w:type="dxa" w:w="90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Revenue</w:t>
            </w:r>
          </w:p>
        </w:tc>
        <w:tc>
          <w:tcPr>
            <w:tcW w:type="dxa" w:w="10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EBITDA margin</w:t>
            </w:r>
          </w:p>
        </w:tc>
        <w:tc>
          <w:tcPr>
            <w:tcW w:type="dxa" w:w="13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Beds / facilities</w:t>
            </w:r>
          </w:p>
        </w:tc>
        <w:tc>
          <w:tcPr>
            <w:tcW w:type="dxa" w:w="9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Occupancy</w:t>
            </w:r>
          </w:p>
        </w:tc>
        <w:tc>
          <w:tcPr>
            <w:tcW w:type="dxa" w:w="10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ARPOB ₹/day</w:t>
            </w:r>
          </w:p>
        </w:tc>
        <w:tc>
          <w:tcPr>
            <w:tcW w:type="dxa" w:w="10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Rev/avail. bed-day (d)</w:t>
            </w:r>
          </w:p>
        </w:tc>
        <w:tc>
          <w:tcPr>
            <w:tcW w:type="dxa" w:w="546"/>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5"/>
                <w:szCs w:val="15"/>
              </w:rPr>
              <w:t xml:space="preserve">Src</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5"/>
                <w:szCs w:val="15"/>
              </w:rPr>
              <w:t xml:space="preserve">Rainbow Children's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Paediatrics, maternity</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1,703</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32.0%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2,435 beds</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46.3%</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60,141</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27,845</w:t>
            </w:r>
          </w:p>
        </w:tc>
        <w:tc>
          <w:tcPr>
            <w:tcW w:type="dxa" w:w="5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27</w:t>
            </w:r>
          </w:p>
        </w:tc>
      </w:tr>
      <w:tr>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5"/>
                <w:szCs w:val="15"/>
              </w:rPr>
              <w:t xml:space="preserve">HCG</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Oncology</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2,545</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18.5% (adj.)</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2,605 beds</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68.9% (9M)</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47,242 (9M)</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32,550</w:t>
            </w:r>
          </w:p>
        </w:tc>
        <w:tc>
          <w:tcPr>
            <w:tcW w:type="dxa" w:w="5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28,29,30</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5"/>
                <w:szCs w:val="15"/>
              </w:rPr>
              <w:t xml:space="preserve">Dr Agarwal's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Eye care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2,080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28.9%†</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288 facilities</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n.a.</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n.a.</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n.a.</w:t>
            </w:r>
          </w:p>
        </w:tc>
        <w:tc>
          <w:tcPr>
            <w:tcW w:type="dxa" w:w="5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31,32</w:t>
            </w:r>
          </w:p>
        </w:tc>
      </w:tr>
      <w:tr>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5"/>
                <w:szCs w:val="15"/>
              </w:rPr>
              <w:t xml:space="preserve">Shalby</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Orthopaedics-led</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1,168</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12.7% (Q4)‡</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~1,352 op. beds (d)</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48% (Q4)</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42,689 (Q4)</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20,491</w:t>
            </w:r>
          </w:p>
        </w:tc>
        <w:tc>
          <w:tcPr>
            <w:tcW w:type="dxa" w:w="5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5"/>
                <w:szCs w:val="15"/>
              </w:rPr>
              <w:t xml:space="preserve">34,35</w:t>
            </w:r>
          </w:p>
        </w:tc>
      </w:tr>
    </w:tbl>
    <w:p>
      <w:pPr>
        <w:spacing w:after="160" w:line="276"/>
      </w:pPr>
      <w:r>
        <w:rPr>
          <w:rFonts w:ascii="Calibri" w:cs="Calibri" w:eastAsia="Calibri" w:hAnsi="Calibri"/>
          <w:i/>
          <w:iCs/>
          <w:color w:val="595959"/>
          <w:sz w:val="16"/>
          <w:szCs w:val="16"/>
        </w:rPr>
        <w:t xml:space="preserve">† Dr Agarwal's EBITDA includes other income and is stated on total income of ₹2,125 Cr.³¹ ³² It is a day-care model, so beds and ARPOB do not apply; the relevant unit metric is revenue per surgery: surgeries are 66.7% of revenue over 3,23,245 procedures ≈ ₹42,900 per surgery (d). ‡ Shalby full-year EBITDA was not available in a verifiable form; Q4 FY26 consolidated margin shown (standalone hospital margin was 16.1%). Beds derived as 649 occupied beds ÷ 48% occupancy.³⁴ ³⁵ HCG ARPOB and occupancy are 9M FY26 (ICRA); HCG says its own “centre utilisation” is not bed occupancy.²⁸ ²⁹</w:t>
      </w:r>
    </w:p>
    <w:p>
      <w:pPr>
        <w:pStyle w:val="Heading2"/>
        <w:spacing w:after="80" w:before="200"/>
      </w:pPr>
      <w:r>
        <w:rPr>
          <w:rFonts w:ascii="Calibri" w:cs="Calibri" w:eastAsia="Calibri" w:hAnsi="Calibri"/>
          <w:b/>
          <w:bCs/>
          <w:color w:val="1F3A5F"/>
          <w:sz w:val="23"/>
          <w:szCs w:val="23"/>
        </w:rPr>
        <w:t xml:space="preserve">Segment ranges at a glance</w:t>
      </w:r>
    </w:p>
    <w:p>
      <w:pPr>
        <w:spacing w:after="120" w:line="276"/>
      </w:pPr>
      <w:r>
        <w:rPr>
          <w:rFonts w:ascii="Calibri" w:cs="Calibri" w:eastAsia="Calibri" w:hAnsi="Calibri"/>
          <w:sz w:val="21"/>
          <w:szCs w:val="21"/>
        </w:rPr>
        <w:t xml:space="preserve">With 4 to 6 companies per segment, the framework rule is ranges with the count disclosed, not medians or percentiles. For context, ICRA's FY26 sample of listed hospital chains averaged 63.5% occupancy, 9.2% ARPOB growth and a 24.1% operating margin.³⁶</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350"/>
        <w:gridCol w:w="2350"/>
        <w:gridCol w:w="2346"/>
      </w:tblGrid>
      <w:tr>
        <w:trPr>
          <w:tblHeader/>
        </w:trPr>
        <w:tc>
          <w:tcPr>
            <w:tcW w:type="dxa" w:w="270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Metric</w:t>
            </w:r>
          </w:p>
        </w:tc>
        <w:tc>
          <w:tcPr>
            <w:tcW w:type="dxa" w:w="23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Segment A (n=5)</w:t>
            </w:r>
          </w:p>
        </w:tc>
        <w:tc>
          <w:tcPr>
            <w:tcW w:type="dxa" w:w="235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Segment B (n=6)</w:t>
            </w:r>
          </w:p>
        </w:tc>
        <w:tc>
          <w:tcPr>
            <w:tcW w:type="dxa" w:w="2346"/>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Segment C (n=4)</w:t>
            </w:r>
          </w:p>
        </w:tc>
      </w:tr>
      <w:t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6"/>
                <w:szCs w:val="16"/>
              </w:rPr>
              <w:t xml:space="preserve">EBITDA margin</w:t>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22.2% – 26.2% (n=5)</w:t>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20.2% – 26.5% (n=6)</w:t>
            </w:r>
          </w:p>
        </w:tc>
        <w:tc>
          <w:tcPr>
            <w:tcW w:type="dxa" w:w="23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12.7% – 32.0% (n=4)</w:t>
            </w:r>
          </w:p>
        </w:tc>
      </w:tr>
      <w:tr>
        <w:tc>
          <w:tcPr>
            <w:tcW w:type="dxa" w:w="2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6"/>
                <w:szCs w:val="16"/>
              </w:rPr>
              <w:t xml:space="preserve">Occupancy</w:t>
            </w:r>
          </w:p>
        </w:tc>
        <w:tc>
          <w:tcPr>
            <w:tcW w:type="dxa" w:w="2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62% – 76% (n=4)</w:t>
            </w:r>
          </w:p>
        </w:tc>
        <w:tc>
          <w:tcPr>
            <w:tcW w:type="dxa" w:w="2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50.5% – 68% (n=6)</w:t>
            </w:r>
          </w:p>
        </w:tc>
        <w:tc>
          <w:tcPr>
            <w:tcW w:type="dxa" w:w="23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46.3% – 68.9% (n=3)</w:t>
            </w:r>
          </w:p>
        </w:tc>
      </w:tr>
      <w:t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6"/>
                <w:szCs w:val="16"/>
              </w:rPr>
              <w:t xml:space="preserve">ARPOB ₹/day</w:t>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49,041 – 77,800 (n=4)</w:t>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28,005 – 82,435 (n=6)</w:t>
            </w:r>
          </w:p>
        </w:tc>
        <w:tc>
          <w:tcPr>
            <w:tcW w:type="dxa" w:w="23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42,689 – 60,141 (n=3)</w:t>
            </w:r>
          </w:p>
        </w:tc>
      </w:tr>
      <w:tr>
        <w:tc>
          <w:tcPr>
            <w:tcW w:type="dxa" w:w="2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6"/>
                <w:szCs w:val="16"/>
              </w:rPr>
              <w:t xml:space="preserve">Revenue per available bed-day (d)</w:t>
            </w:r>
          </w:p>
        </w:tc>
        <w:tc>
          <w:tcPr>
            <w:tcW w:type="dxa" w:w="2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41,261 – 59,128 (n=3)</w:t>
            </w:r>
          </w:p>
        </w:tc>
        <w:tc>
          <w:tcPr>
            <w:tcW w:type="dxa" w:w="2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17,951 – 51,934 (n=6)</w:t>
            </w:r>
          </w:p>
        </w:tc>
        <w:tc>
          <w:tcPr>
            <w:tcW w:type="dxa" w:w="23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20,491 – 32,550 (n=3)</w:t>
            </w:r>
          </w:p>
        </w:tc>
      </w:tr>
    </w:tbl>
    <w:p>
      <w:pPr>
        <w:spacing w:after="60"/>
      </w:pPr>
    </w:p>
    <w:p>
      <w:pPr>
        <w:pStyle w:val="Heading1"/>
        <w:spacing w:after="120" w:before="280"/>
      </w:pPr>
      <w:r>
        <w:rPr>
          <w:rFonts w:ascii="Calibri" w:cs="Calibri" w:eastAsia="Calibri" w:hAnsi="Calibri"/>
          <w:b/>
          <w:bCs/>
          <w:color w:val="1F3A5F"/>
          <w:sz w:val="28"/>
          <w:szCs w:val="28"/>
        </w:rPr>
        <w:t xml:space="preserve">5. What the benchmark shows</w:t>
      </w:r>
    </w:p>
    <w:p>
      <w:pPr>
        <w:pStyle w:val="Heading2"/>
        <w:spacing w:after="80" w:before="200"/>
      </w:pPr>
      <w:r>
        <w:rPr>
          <w:rFonts w:ascii="Calibri" w:cs="Calibri" w:eastAsia="Calibri" w:hAnsi="Calibri"/>
          <w:b/>
          <w:bCs/>
          <w:color w:val="1F3A5F"/>
          <w:sz w:val="23"/>
          <w:szCs w:val="23"/>
        </w:rPr>
        <w:t xml:space="preserve">5.1 Price and volume are two routes to the same margin</w:t>
      </w:r>
    </w:p>
    <w:p>
      <w:pPr>
        <w:spacing w:after="120" w:line="276"/>
      </w:pPr>
      <w:r>
        <w:rPr>
          <w:rFonts w:ascii="Calibri" w:cs="Calibri" w:eastAsia="Calibri" w:hAnsi="Calibri"/>
          <w:sz w:val="21"/>
          <w:szCs w:val="21"/>
        </w:rPr>
        <w:t xml:space="preserve">ARPOB alone does not predict profitability. Park Medi World earns a 26.5% margin at an ARPOB of ₹28,005, the lowest in the set, while Max earns 26.2% at ₹77,800 and Artemis 20.2% at ₹82,435, a single Gurugram hospital where international patients bring in roughly a third of revenue.⁵ ¹⁹ ²⁵ ²⁶ The difference is cost per occupied bed-day, which none of these companies discloses. For a hospital reading this, the first question is not “is our ARPOB low?” but “which of the two engines are we running, and is our cost base built for it?”</w:t>
      </w:r>
    </w:p>
    <w:p>
      <w:pPr>
        <w:pStyle w:val="Heading2"/>
        <w:spacing w:after="80" w:before="200"/>
      </w:pPr>
      <w:r>
        <w:rPr>
          <w:rFonts w:ascii="Calibri" w:cs="Calibri" w:eastAsia="Calibri" w:hAnsi="Calibri"/>
          <w:b/>
          <w:bCs/>
          <w:color w:val="1F3A5F"/>
          <w:sz w:val="23"/>
          <w:szCs w:val="23"/>
        </w:rPr>
        <w:t xml:space="preserve">5.2 New capacity hides mature-unit economics</w:t>
      </w:r>
    </w:p>
    <w:p>
      <w:pPr>
        <w:spacing w:after="120" w:line="276"/>
      </w:pPr>
      <w:r>
        <w:rPr>
          <w:rFonts w:ascii="Calibri" w:cs="Calibri" w:eastAsia="Calibri" w:hAnsi="Calibri"/>
          <w:sz w:val="21"/>
          <w:szCs w:val="21"/>
        </w:rPr>
        <w:t xml:space="preserve">Most of the set is in heavy expansion, and group margins mix ramping units with mature ones. Where companies split them out, the gap is large: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4600"/>
        <w:gridCol w:w="1146"/>
      </w:tblGrid>
      <w:tr>
        <w:trPr>
          <w:tblHeader/>
        </w:trPr>
        <w:tc>
          <w:tcPr>
            <w:tcW w:type="dxa" w:w="170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Company</w:t>
            </w:r>
          </w:p>
        </w:tc>
        <w:tc>
          <w:tcPr>
            <w:tcW w:type="dxa" w:w="230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Group / blended</w:t>
            </w:r>
          </w:p>
        </w:tc>
        <w:tc>
          <w:tcPr>
            <w:tcW w:type="dxa" w:w="4600"/>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Mature or established units</w:t>
            </w:r>
          </w:p>
        </w:tc>
        <w:tc>
          <w:tcPr>
            <w:tcW w:type="dxa" w:w="1146"/>
            <w:tcBorders>
              <w:top w:val="single" w:color="BFBFBF" w:sz="4"/>
              <w:left w:val="single" w:color="BFBFBF" w:sz="4"/>
              <w:bottom w:val="single" w:color="BFBFBF" w:sz="4"/>
              <w:right w:val="single" w:color="BFBFBF" w:sz="4"/>
            </w:tcBorders>
            <w:shd w:fill="1F3A5F"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Source</w:t>
            </w:r>
          </w:p>
        </w:tc>
      </w:tr>
      <w:t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6"/>
                <w:szCs w:val="16"/>
              </w:rPr>
              <w:t xml:space="preserve">KIMS</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21.1% EBITDA margin</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29.5% (mature units); new units eroded ₹128 Cr EBITDA</w:t>
            </w:r>
          </w:p>
        </w:tc>
        <w:tc>
          <w:tcPr>
            <w:tcW w:type="dxa" w:w="11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16,18</w:t>
            </w:r>
          </w:p>
        </w:tc>
      </w:tr>
      <w:tr>
        <w:tc>
          <w:tcPr>
            <w:tcW w:type="dxa" w:w="1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6"/>
                <w:szCs w:val="16"/>
              </w:rPr>
              <w:t xml:space="preserve">Aster DM</w:t>
            </w:r>
          </w:p>
        </w:tc>
        <w:tc>
          <w:tcPr>
            <w:tcW w:type="dxa" w:w="2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20.4% EBITDA margin</w:t>
            </w:r>
          </w:p>
        </w:tc>
        <w:tc>
          <w:tcPr>
            <w:tcW w:type="dxa" w:w="4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25.4% (hospitals 7+ years old)</w:t>
            </w:r>
          </w:p>
        </w:tc>
        <w:tc>
          <w:tcPr>
            <w:tcW w:type="dxa" w:w="11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14</w:t>
            </w:r>
          </w:p>
        </w:tc>
      </w:tr>
      <w:t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6"/>
                <w:szCs w:val="16"/>
              </w:rPr>
              <w:t xml:space="preserve">Apollo</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24.4% (FY26 HCS)</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25.5% (established hospitals, Q4)</w:t>
            </w:r>
          </w:p>
        </w:tc>
        <w:tc>
          <w:tcPr>
            <w:tcW w:type="dxa" w:w="11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2,3</w:t>
            </w:r>
          </w:p>
        </w:tc>
      </w:tr>
      <w:tr>
        <w:tc>
          <w:tcPr>
            <w:tcW w:type="dxa" w:w="1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6"/>
                <w:szCs w:val="16"/>
              </w:rPr>
              <w:t xml:space="preserve">Medanta</w:t>
            </w:r>
          </w:p>
        </w:tc>
        <w:tc>
          <w:tcPr>
            <w:tcW w:type="dxa" w:w="2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24.2% EBITDA margin</w:t>
            </w:r>
          </w:p>
        </w:tc>
        <w:tc>
          <w:tcPr>
            <w:tcW w:type="dxa" w:w="4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31.5% developing units ex-Noida; Noida EBITDA loss ₹78 Cr</w:t>
            </w:r>
          </w:p>
        </w:tc>
        <w:tc>
          <w:tcPr>
            <w:tcW w:type="dxa" w:w="11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9,11</w:t>
            </w:r>
          </w:p>
        </w:tc>
      </w:tr>
      <w:t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6"/>
                <w:szCs w:val="16"/>
              </w:rPr>
              <w:t xml:space="preserve">Max</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21.8% ROCE</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~31% ROCE excluding units under 4 years and CWIP</w:t>
            </w:r>
          </w:p>
        </w:tc>
        <w:tc>
          <w:tcPr>
            <w:tcW w:type="dxa" w:w="11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5</w:t>
            </w:r>
          </w:p>
        </w:tc>
      </w:tr>
      <w:tr>
        <w:tc>
          <w:tcPr>
            <w:tcW w:type="dxa" w:w="1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6"/>
                <w:szCs w:val="16"/>
              </w:rPr>
              <w:t xml:space="preserve">Dr Agarwal's</w:t>
            </w:r>
          </w:p>
        </w:tc>
        <w:tc>
          <w:tcPr>
            <w:tcW w:type="dxa" w:w="2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28.9% EBITDA margin</w:t>
            </w:r>
          </w:p>
        </w:tc>
        <w:tc>
          <w:tcPr>
            <w:tcW w:type="dxa" w:w="4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Greenfield centres opened in FY26 lost ~₹30 Cr</w:t>
            </w:r>
          </w:p>
        </w:tc>
        <w:tc>
          <w:tcPr>
            <w:tcW w:type="dxa" w:w="11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b w:val="false"/>
                <w:bCs w:val="false"/>
                <w:color w:val="000000"/>
                <w:sz w:val="16"/>
                <w:szCs w:val="16"/>
              </w:rPr>
              <w:t xml:space="preserve">33</w:t>
            </w:r>
          </w:p>
        </w:tc>
      </w:tr>
    </w:tbl>
    <w:p>
      <w:pPr>
        <w:spacing w:after="60"/>
      </w:pPr>
    </w:p>
    <w:p>
      <w:pPr>
        <w:spacing w:after="120" w:line="276"/>
      </w:pPr>
      <w:r>
        <w:rPr>
          <w:rFonts w:ascii="Calibri" w:cs="Calibri" w:eastAsia="Calibri" w:hAnsi="Calibri"/>
          <w:sz w:val="21"/>
          <w:szCs w:val="21"/>
        </w:rPr>
        <w:t xml:space="preserve">Benchmarking a hospital's blended margin against these group figures understates what a mature unit should earn by roughly 1 to 8 points, depending on how much new capacity the group is carrying. Compare mature units with mature units and track new units on a ramp curve (occupancy and margin by months since opening).</w:t>
      </w:r>
    </w:p>
    <w:p>
      <w:pPr>
        <w:pStyle w:val="Heading2"/>
        <w:spacing w:after="80" w:before="200"/>
      </w:pPr>
      <w:r>
        <w:rPr>
          <w:rFonts w:ascii="Calibri" w:cs="Calibri" w:eastAsia="Calibri" w:hAnsi="Calibri"/>
          <w:b/>
          <w:bCs/>
          <w:color w:val="1F3A5F"/>
          <w:sz w:val="23"/>
          <w:szCs w:val="23"/>
        </w:rPr>
        <w:t xml:space="preserve">5.3 Occupancy is only comparable within a model</w:t>
      </w:r>
    </w:p>
    <w:p>
      <w:pPr>
        <w:spacing w:after="120" w:line="276"/>
      </w:pPr>
      <w:r>
        <w:rPr>
          <w:rFonts w:ascii="Calibri" w:cs="Calibri" w:eastAsia="Calibri" w:hAnsi="Calibri"/>
          <w:sz w:val="21"/>
          <w:szCs w:val="21"/>
        </w:rPr>
        <w:t xml:space="preserve">Rainbow runs at 46.3% occupancy yet posts the highest margin in the set (32.0%), because paediatric demand is seasonal and stays are short.²⁷ KIMS reports 50.5% on operational beds while Yatharth reports 68% and Medanta about 62% on capacity-type bases.⁹ ¹⁷ ²² A hospital should set its occupancy target against peers with the same specialty mix and the same bed definition, or use revenue per available bed-day, which is less sensitive to how beds are counted.</w:t>
      </w:r>
    </w:p>
    <w:p>
      <w:pPr>
        <w:pStyle w:val="Heading2"/>
        <w:spacing w:after="80" w:before="200"/>
      </w:pPr>
      <w:r>
        <w:rPr>
          <w:rFonts w:ascii="Calibri" w:cs="Calibri" w:eastAsia="Calibri" w:hAnsi="Calibri"/>
          <w:b/>
          <w:bCs/>
          <w:color w:val="1F3A5F"/>
          <w:sz w:val="23"/>
          <w:szCs w:val="23"/>
        </w:rPr>
        <w:t xml:space="preserve">5.4 Payer mix drives working capital as much as margin</w:t>
      </w:r>
    </w:p>
    <w:p>
      <w:pPr>
        <w:spacing w:after="120" w:line="276"/>
      </w:pPr>
      <w:r>
        <w:rPr>
          <w:rFonts w:ascii="Calibri" w:cs="Calibri" w:eastAsia="Calibri" w:hAnsi="Calibri"/>
          <w:sz w:val="21"/>
          <w:szCs w:val="21"/>
        </w:rPr>
        <w:t xml:space="preserve">Government-scheme exposure varies widely: around 35% of revenue at Yatharth, 33% at HCG and 18% (schemes) at Narayana, against about 1% at Jupiter, where insurance is 55.4%.¹² ²¹ ²⁴ ²⁸ The cost shows up in receivables: Park's debtor days were 129 at March 2026 (down from 161), against Max's 87.⁵ ²⁰ Cash conversion is the check. Yatharth converted 98% of EBITDA to operating cash flow in FY26 and HCG 75%.²³ ²⁸ A hospital benchmarking its margin should put debtor days and OCF/EBITDA next to it.</w:t>
      </w:r>
    </w:p>
    <w:p>
      <w:pPr>
        <w:pStyle w:val="Heading2"/>
        <w:spacing w:after="80" w:before="200"/>
      </w:pPr>
      <w:r>
        <w:rPr>
          <w:rFonts w:ascii="Calibri" w:cs="Calibri" w:eastAsia="Calibri" w:hAnsi="Calibri"/>
          <w:b/>
          <w:bCs/>
          <w:color w:val="1F3A5F"/>
          <w:sz w:val="23"/>
          <w:szCs w:val="23"/>
        </w:rPr>
        <w:t xml:space="preserve">5.5 Reported metrics are not defined the same way</w:t>
      </w:r>
    </w:p>
    <w:p>
      <w:pPr>
        <w:spacing w:after="120" w:line="276"/>
      </w:pPr>
      <w:r>
        <w:rPr>
          <w:rFonts w:ascii="Calibri" w:cs="Calibri" w:eastAsia="Calibri" w:hAnsi="Calibri"/>
          <w:sz w:val="21"/>
          <w:szCs w:val="21"/>
        </w:rPr>
        <w:t xml:space="preserve">Apollo has withdrawn ARPOB.⁴ Fortis and Narayana report it per year, not per day.⁷ ¹² Max's ARPOB uses gross revenue and its financials include partner facilities it does not own.⁵ Bed counts mix operational, census and capacity bases. These are presentation choices, not errors, but they mean the tables above support ranges and direction, not a precise ranking.</w:t>
      </w:r>
    </w:p>
    <w:p>
      <w:pPr>
        <w:pStyle w:val="Heading1"/>
        <w:spacing w:after="120" w:before="280"/>
      </w:pPr>
      <w:r>
        <w:rPr>
          <w:rFonts w:ascii="Calibri" w:cs="Calibri" w:eastAsia="Calibri" w:hAnsi="Calibri"/>
          <w:b/>
          <w:bCs/>
          <w:color w:val="1F3A5F"/>
          <w:sz w:val="28"/>
          <w:szCs w:val="28"/>
        </w:rPr>
        <w:t xml:space="preserve">6. How a hospital should use this</w:t>
      </w:r>
    </w:p>
    <w:p>
      <w:pPr>
        <w:pStyle w:val="ListParagraph"/>
        <w:numPr>
          <w:ilvl w:val="0"/>
          <w:numId w:val="2"/>
        </w:numPr>
        <w:spacing w:after="80" w:line="264"/>
      </w:pPr>
      <w:r>
        <w:rPr>
          <w:rFonts w:ascii="Calibri" w:cs="Calibri" w:eastAsia="Calibri" w:hAnsi="Calibri"/>
          <w:b/>
          <w:bCs/>
          <w:sz w:val="21"/>
          <w:szCs w:val="21"/>
        </w:rPr>
        <w:t xml:space="preserve">Place yourself by engine, not by name. </w:t>
      </w:r>
      <w:r>
        <w:rPr>
          <w:rFonts w:ascii="Calibri" w:cs="Calibri" w:eastAsia="Calibri" w:hAnsi="Calibri"/>
          <w:sz w:val="21"/>
          <w:szCs w:val="21"/>
        </w:rPr>
        <w:t xml:space="preserve">Choose the segment whose model matches yours (price-led tertiary, volume-led regional, or single specialty) and benchmark against that range only.</w:t>
      </w:r>
    </w:p>
    <w:p>
      <w:pPr>
        <w:pStyle w:val="ListParagraph"/>
        <w:numPr>
          <w:ilvl w:val="0"/>
          <w:numId w:val="2"/>
        </w:numPr>
        <w:spacing w:after="80" w:line="264"/>
      </w:pPr>
      <w:r>
        <w:rPr>
          <w:rFonts w:ascii="Calibri" w:cs="Calibri" w:eastAsia="Calibri" w:hAnsi="Calibri"/>
          <w:b/>
          <w:bCs/>
          <w:sz w:val="21"/>
          <w:szCs w:val="21"/>
        </w:rPr>
        <w:t xml:space="preserve">Decompose the margin gap. </w:t>
      </w:r>
      <w:r>
        <w:rPr>
          <w:rFonts w:ascii="Calibri" w:cs="Calibri" w:eastAsia="Calibri" w:hAnsi="Calibri"/>
          <w:sz w:val="21"/>
          <w:szCs w:val="21"/>
        </w:rPr>
        <w:t xml:space="preserve">Split it into ARPOB (mix and price), occupancy (volume) and cost per occupied bed-day. Each implies a different response.</w:t>
      </w:r>
    </w:p>
    <w:p>
      <w:pPr>
        <w:pStyle w:val="ListParagraph"/>
        <w:numPr>
          <w:ilvl w:val="0"/>
          <w:numId w:val="2"/>
        </w:numPr>
        <w:spacing w:after="80" w:line="264"/>
      </w:pPr>
      <w:r>
        <w:rPr>
          <w:rFonts w:ascii="Calibri" w:cs="Calibri" w:eastAsia="Calibri" w:hAnsi="Calibri"/>
          <w:b/>
          <w:bCs/>
          <w:sz w:val="21"/>
          <w:szCs w:val="21"/>
        </w:rPr>
        <w:t xml:space="preserve">Separate mature and ramping units. </w:t>
      </w:r>
      <w:r>
        <w:rPr>
          <w:rFonts w:ascii="Calibri" w:cs="Calibri" w:eastAsia="Calibri" w:hAnsi="Calibri"/>
          <w:sz w:val="21"/>
          <w:szCs w:val="21"/>
        </w:rPr>
        <w:t xml:space="preserve">Benchmark mature units against the 25–30% mature-unit margins in Section 5.2, and track new units on a months-since-opening curve.</w:t>
      </w:r>
    </w:p>
    <w:p>
      <w:pPr>
        <w:pStyle w:val="ListParagraph"/>
        <w:numPr>
          <w:ilvl w:val="0"/>
          <w:numId w:val="2"/>
        </w:numPr>
        <w:spacing w:after="80" w:line="264"/>
      </w:pPr>
      <w:r>
        <w:rPr>
          <w:rFonts w:ascii="Calibri" w:cs="Calibri" w:eastAsia="Calibri" w:hAnsi="Calibri"/>
          <w:b/>
          <w:bCs/>
          <w:sz w:val="21"/>
          <w:szCs w:val="21"/>
        </w:rPr>
        <w:t xml:space="preserve">Report payer mix, debtor days and cash conversion with the margin. </w:t>
      </w:r>
      <w:r>
        <w:rPr>
          <w:rFonts w:ascii="Calibri" w:cs="Calibri" w:eastAsia="Calibri" w:hAnsi="Calibri"/>
          <w:sz w:val="21"/>
          <w:szCs w:val="21"/>
        </w:rPr>
        <w:t xml:space="preserve">A margin that does not convert to cash is not comparable to one that does.</w:t>
      </w:r>
    </w:p>
    <w:p>
      <w:pPr>
        <w:pStyle w:val="ListParagraph"/>
        <w:numPr>
          <w:ilvl w:val="0"/>
          <w:numId w:val="2"/>
        </w:numPr>
        <w:spacing w:after="80" w:line="264"/>
      </w:pPr>
      <w:r>
        <w:rPr>
          <w:rFonts w:ascii="Calibri" w:cs="Calibri" w:eastAsia="Calibri" w:hAnsi="Calibri"/>
          <w:b/>
          <w:bCs/>
          <w:sz w:val="21"/>
          <w:szCs w:val="21"/>
        </w:rPr>
        <w:t xml:space="preserve">Publish your own definitions. </w:t>
      </w:r>
      <w:r>
        <w:rPr>
          <w:rFonts w:ascii="Calibri" w:cs="Calibri" w:eastAsia="Calibri" w:hAnsi="Calibri"/>
          <w:sz w:val="21"/>
          <w:szCs w:val="21"/>
        </w:rPr>
        <w:t xml:space="preserve">State your bed basis and ARPOB formula so the comparison can be checked.</w:t>
      </w:r>
    </w:p>
    <w:p>
      <w:pPr>
        <w:pStyle w:val="Heading2"/>
        <w:spacing w:after="80" w:before="200"/>
      </w:pPr>
      <w:r>
        <w:rPr>
          <w:rFonts w:ascii="Calibri" w:cs="Calibri" w:eastAsia="Calibri" w:hAnsi="Calibri"/>
          <w:b/>
          <w:bCs/>
          <w:color w:val="1F3A5F"/>
          <w:sz w:val="23"/>
          <w:szCs w:val="23"/>
        </w:rPr>
        <w:t xml:space="preserve">Limitations</w:t>
      </w:r>
    </w:p>
    <w:p>
      <w:pPr>
        <w:pStyle w:val="ListParagraph"/>
        <w:numPr>
          <w:ilvl w:val="0"/>
          <w:numId w:val="3"/>
        </w:numPr>
        <w:spacing w:after="80" w:line="264"/>
      </w:pPr>
      <w:r>
        <w:rPr>
          <w:rFonts w:ascii="Calibri" w:cs="Calibri" w:eastAsia="Calibri" w:hAnsi="Calibri"/>
          <w:sz w:val="21"/>
          <w:szCs w:val="21"/>
        </w:rPr>
        <w:t xml:space="preserve">Sources are company disclosures and reputable summaries of them; where a primary filing could not be opened, the closest verbatim secondary report was used and is cited.</w:t>
      </w:r>
    </w:p>
    <w:p>
      <w:pPr>
        <w:pStyle w:val="ListParagraph"/>
        <w:numPr>
          <w:ilvl w:val="0"/>
          <w:numId w:val="3"/>
        </w:numPr>
        <w:spacing w:after="80" w:line="264"/>
      </w:pPr>
      <w:r>
        <w:rPr>
          <w:rFonts w:ascii="Calibri" w:cs="Calibri" w:eastAsia="Calibri" w:hAnsi="Calibri"/>
          <w:sz w:val="21"/>
          <w:szCs w:val="21"/>
        </w:rPr>
        <w:t xml:space="preserve">Periods are full-year FY26 except where flagged: Apollo occupancy (Q4), HCG ARPOB and occupancy (9M), Shalby margin, occupancy and ARPOB (Q4).</w:t>
      </w:r>
    </w:p>
    <w:p>
      <w:pPr>
        <w:pStyle w:val="ListParagraph"/>
        <w:numPr>
          <w:ilvl w:val="0"/>
          <w:numId w:val="3"/>
        </w:numPr>
        <w:spacing w:after="80" w:line="264"/>
      </w:pPr>
      <w:r>
        <w:rPr>
          <w:rFonts w:ascii="Calibri" w:cs="Calibri" w:eastAsia="Calibri" w:hAnsi="Calibri"/>
          <w:sz w:val="21"/>
          <w:szCs w:val="21"/>
        </w:rPr>
        <w:t xml:space="preserve">Revenue bases differ (net vs. gross, network vs. consolidated, segment vs. group). No normalisation for Ind AS 116 or other income was applied beyond what companies disclose.</w:t>
      </w:r>
    </w:p>
    <w:p>
      <w:pPr>
        <w:pStyle w:val="ListParagraph"/>
        <w:numPr>
          <w:ilvl w:val="0"/>
          <w:numId w:val="3"/>
        </w:numPr>
        <w:spacing w:after="80" w:line="264"/>
      </w:pPr>
      <w:r>
        <w:rPr>
          <w:rFonts w:ascii="Calibri" w:cs="Calibri" w:eastAsia="Calibri" w:hAnsi="Calibri"/>
          <w:sz w:val="21"/>
          <w:szCs w:val="21"/>
        </w:rPr>
        <w:t xml:space="preserve">Listed chains are larger and better capitalised than most private hospitals; a standalone or MSME hospital should read these as direction, not targets.</w:t>
      </w:r>
    </w:p>
    <w:p>
      <w:pPr>
        <w:pStyle w:val="Heading1"/>
        <w:spacing w:after="120" w:before="280"/>
      </w:pPr>
      <w:r>
        <w:rPr>
          <w:rFonts w:ascii="Calibri" w:cs="Calibri" w:eastAsia="Calibri" w:hAnsi="Calibri"/>
          <w:b/>
          <w:bCs/>
          <w:color w:val="1F3A5F"/>
          <w:sz w:val="28"/>
          <w:szCs w:val="28"/>
        </w:rPr>
        <w:t xml:space="preserve">7. Sources</w:t>
      </w:r>
    </w:p>
    <w:p>
      <w:pPr>
        <w:spacing w:after="40"/>
        <w:ind w:left="360" w:hanging="360"/>
      </w:pPr>
      <w:r>
        <w:rPr>
          <w:rFonts w:ascii="Calibri" w:cs="Calibri" w:eastAsia="Calibri" w:hAnsi="Calibri"/>
          <w:sz w:val="16"/>
          <w:szCs w:val="16"/>
        </w:rPr>
        <w:t xml:space="preserve">1.  Apollo Hospitals, Q4 FY26 results release (May 2026). </w:t>
      </w:r>
      <w:hyperlink w:history="1" r:id="rIdljfa1sxsrdusuwa6c6dyv">
        <w:r>
          <w:rPr>
            <w:rFonts w:ascii="Calibri" w:cs="Calibri" w:eastAsia="Calibri" w:hAnsi="Calibri"/>
            <w:color w:val="2E5C8A"/>
            <w:sz w:val="14"/>
            <w:szCs w:val="14"/>
            <w:u w:val="single"/>
          </w:rPr>
          <w:t xml:space="preserve">https://www.apollohospitals.com/sites/default/files/2026-05/ahel-q4fy26-resullts-release.pdf</w:t>
        </w:r>
      </w:hyperlink>
    </w:p>
    <w:p>
      <w:pPr>
        <w:spacing w:after="40"/>
        <w:ind w:left="360" w:hanging="360"/>
      </w:pPr>
      <w:r>
        <w:rPr>
          <w:rFonts w:ascii="Calibri" w:cs="Calibri" w:eastAsia="Calibri" w:hAnsi="Calibri"/>
          <w:sz w:val="16"/>
          <w:szCs w:val="16"/>
        </w:rPr>
        <w:t xml:space="preserve">2.  Quartr, Apollo Hospitals Q4 FY26 summary (healthcare services revenue and margin). </w:t>
      </w:r>
      <w:hyperlink w:history="1" r:id="rIdipeqdwsw4jwjzyw798uik">
        <w:r>
          <w:rPr>
            <w:rFonts w:ascii="Calibri" w:cs="Calibri" w:eastAsia="Calibri" w:hAnsi="Calibri"/>
            <w:color w:val="2E5C8A"/>
            <w:sz w:val="14"/>
            <w:szCs w:val="14"/>
            <w:u w:val="single"/>
          </w:rPr>
          <w:t xml:space="preserve">https://quartr.com/events/apollo-hospitals-enterprise-limited-apollohosp-q4-25-26_FYSsn3Zb</w:t>
        </w:r>
      </w:hyperlink>
    </w:p>
    <w:p>
      <w:pPr>
        <w:spacing w:after="40"/>
        <w:ind w:left="360" w:hanging="360"/>
      </w:pPr>
      <w:r>
        <w:rPr>
          <w:rFonts w:ascii="Calibri" w:cs="Calibri" w:eastAsia="Calibri" w:hAnsi="Calibri"/>
          <w:sz w:val="16"/>
          <w:szCs w:val="16"/>
        </w:rPr>
        <w:t xml:space="preserve">3.  Multibagg, Apollo Q4 FY26 (ARPP, established-hospital margin). </w:t>
      </w:r>
      <w:hyperlink w:history="1" r:id="rId3gt04dgu6vs6oaiwnx2r5">
        <w:r>
          <w:rPr>
            <w:rFonts w:ascii="Calibri" w:cs="Calibri" w:eastAsia="Calibri" w:hAnsi="Calibri"/>
            <w:color w:val="2E5C8A"/>
            <w:sz w:val="14"/>
            <w:szCs w:val="14"/>
            <w:u w:val="single"/>
          </w:rPr>
          <w:t xml:space="preserve">https://www.multibagg.ai/market-pulse/articles/apollo-q4fy26-94450</w:t>
        </w:r>
      </w:hyperlink>
    </w:p>
    <w:p>
      <w:pPr>
        <w:spacing w:after="40"/>
        <w:ind w:left="360" w:hanging="360"/>
      </w:pPr>
      <w:r>
        <w:rPr>
          <w:rFonts w:ascii="Calibri" w:cs="Calibri" w:eastAsia="Calibri" w:hAnsi="Calibri"/>
          <w:sz w:val="16"/>
          <w:szCs w:val="16"/>
        </w:rPr>
        <w:t xml:space="preserve">4.  Alpha Spread, Apollo Q2 FY26 earnings call (ARPOB withdrawn; HCS ROCE). </w:t>
      </w:r>
      <w:hyperlink w:history="1" r:id="rId4siwxnbxgc9galb2r2hei">
        <w:r>
          <w:rPr>
            <w:rFonts w:ascii="Calibri" w:cs="Calibri" w:eastAsia="Calibri" w:hAnsi="Calibri"/>
            <w:color w:val="2E5C8A"/>
            <w:sz w:val="14"/>
            <w:szCs w:val="14"/>
            <w:u w:val="single"/>
          </w:rPr>
          <w:t xml:space="preserve">https://www.alphaspread.com/security/nse/apollohosp/investor-relations/earnings-call/q2-2026</w:t>
        </w:r>
      </w:hyperlink>
    </w:p>
    <w:p>
      <w:pPr>
        <w:spacing w:after="40"/>
        <w:ind w:left="360" w:hanging="360"/>
      </w:pPr>
      <w:r>
        <w:rPr>
          <w:rFonts w:ascii="Calibri" w:cs="Calibri" w:eastAsia="Calibri" w:hAnsi="Calibri"/>
          <w:sz w:val="16"/>
          <w:szCs w:val="16"/>
        </w:rPr>
        <w:t xml:space="preserve">5.  Max Healthcare, Q4 &amp; FY26 press release and earnings update (NSE filing, 21 May 2026). </w:t>
      </w:r>
      <w:hyperlink w:history="1" r:id="rIdj3wixj57tgqqha1oad1ke">
        <w:r>
          <w:rPr>
            <w:rFonts w:ascii="Calibri" w:cs="Calibri" w:eastAsia="Calibri" w:hAnsi="Calibri"/>
            <w:color w:val="2E5C8A"/>
            <w:sz w:val="14"/>
            <w:szCs w:val="14"/>
            <w:u w:val="single"/>
          </w:rPr>
          <w:t xml:space="preserve">https://nsearchives.nseindia.com/corporate/MAXHEALTH_21052026163255_SE_Intimation_Final.pdf</w:t>
        </w:r>
      </w:hyperlink>
    </w:p>
    <w:p>
      <w:pPr>
        <w:spacing w:after="40"/>
        <w:ind w:left="360" w:hanging="360"/>
      </w:pPr>
      <w:r>
        <w:rPr>
          <w:rFonts w:ascii="Calibri" w:cs="Calibri" w:eastAsia="Calibri" w:hAnsi="Calibri"/>
          <w:sz w:val="16"/>
          <w:szCs w:val="16"/>
        </w:rPr>
        <w:t xml:space="preserve">6.  ANI, Fortis Healthcare FY26 results (23 May 2026). </w:t>
      </w:r>
      <w:hyperlink w:history="1" r:id="rIdcpxmmi5dosfhci0ynxxzg">
        <w:r>
          <w:rPr>
            <w:rFonts w:ascii="Calibri" w:cs="Calibri" w:eastAsia="Calibri" w:hAnsi="Calibri"/>
            <w:color w:val="2E5C8A"/>
            <w:sz w:val="14"/>
            <w:szCs w:val="14"/>
            <w:u w:val="single"/>
          </w:rPr>
          <w:t xml:space="preserve">https://aninews.in/news/business/fortis-healthcare-pat-jumps-44-in-q4-as-ebitda-margins-expand-fy26-profit-rises-3120260523141723/</w:t>
        </w:r>
      </w:hyperlink>
    </w:p>
    <w:p>
      <w:pPr>
        <w:spacing w:after="40"/>
        <w:ind w:left="360" w:hanging="360"/>
      </w:pPr>
      <w:r>
        <w:rPr>
          <w:rFonts w:ascii="Calibri" w:cs="Calibri" w:eastAsia="Calibri" w:hAnsi="Calibri"/>
          <w:sz w:val="16"/>
          <w:szCs w:val="16"/>
        </w:rPr>
        <w:t xml:space="preserve">7.  Fortis Healthcare, Q4 FY26 earnings call transcript. </w:t>
      </w:r>
      <w:hyperlink w:history="1" r:id="rIdfosq0bvpmdzjd_hmn5euo">
        <w:r>
          <w:rPr>
            <w:rFonts w:ascii="Calibri" w:cs="Calibri" w:eastAsia="Calibri" w:hAnsi="Calibri"/>
            <w:color w:val="2E5C8A"/>
            <w:sz w:val="14"/>
            <w:szCs w:val="14"/>
            <w:u w:val="single"/>
          </w:rPr>
          <w:t xml:space="preserve">https://www.fortishealthcare.com/investor/investor%20presentations%20&amp;%20transcripts/earnings%20call%20transcript%20for%20the%20quarter%20and%20year%20ended%20march%202026</w:t>
        </w:r>
      </w:hyperlink>
    </w:p>
    <w:p>
      <w:pPr>
        <w:spacing w:after="40"/>
        <w:ind w:left="360" w:hanging="360"/>
      </w:pPr>
      <w:r>
        <w:rPr>
          <w:rFonts w:ascii="Calibri" w:cs="Calibri" w:eastAsia="Calibri" w:hAnsi="Calibri"/>
          <w:sz w:val="16"/>
          <w:szCs w:val="16"/>
        </w:rPr>
        <w:t xml:space="preserve">8.  Fortis Healthcare, Q4 FY26 press release (operational beds). </w:t>
      </w:r>
      <w:hyperlink w:history="1" r:id="rIde39f-uexubzvywypiho24">
        <w:r>
          <w:rPr>
            <w:rFonts w:ascii="Calibri" w:cs="Calibri" w:eastAsia="Calibri" w:hAnsi="Calibri"/>
            <w:color w:val="2E5C8A"/>
            <w:sz w:val="14"/>
            <w:szCs w:val="14"/>
            <w:u w:val="single"/>
          </w:rPr>
          <w:t xml:space="preserve">https://www.fortishealthcare.com/investor/investor%20presentations%20&amp;%20transcripts/fhl%20-%20q4fy26%20and%20fy26%20press%20release</w:t>
        </w:r>
      </w:hyperlink>
    </w:p>
    <w:p>
      <w:pPr>
        <w:spacing w:after="40"/>
        <w:ind w:left="360" w:hanging="360"/>
      </w:pPr>
      <w:r>
        <w:rPr>
          <w:rFonts w:ascii="Calibri" w:cs="Calibri" w:eastAsia="Calibri" w:hAnsi="Calibri"/>
          <w:sz w:val="16"/>
          <w:szCs w:val="16"/>
        </w:rPr>
        <w:t xml:space="preserve">9.  Medical Buyer, Healthcare's FY26-to-FY27 turn (Medanta, KIMS, HCG FY26). </w:t>
      </w:r>
      <w:hyperlink w:history="1" r:id="rIdeat5w9_ztanqnkrhj7sib">
        <w:r>
          <w:rPr>
            <w:rFonts w:ascii="Calibri" w:cs="Calibri" w:eastAsia="Calibri" w:hAnsi="Calibri"/>
            <w:color w:val="2E5C8A"/>
            <w:sz w:val="14"/>
            <w:szCs w:val="14"/>
            <w:u w:val="single"/>
          </w:rPr>
          <w:t xml:space="preserve">https://medicalbuyer.co.in/strong-finish-confident-start-healthcares-fy26-to-fy27-turn/</w:t>
        </w:r>
      </w:hyperlink>
    </w:p>
    <w:p>
      <w:pPr>
        <w:spacing w:after="40"/>
        <w:ind w:left="360" w:hanging="360"/>
      </w:pPr>
      <w:r>
        <w:rPr>
          <w:rFonts w:ascii="Calibri" w:cs="Calibri" w:eastAsia="Calibri" w:hAnsi="Calibri"/>
          <w:sz w:val="16"/>
          <w:szCs w:val="16"/>
        </w:rPr>
        <w:t xml:space="preserve">10.  Whalesbook, Medanta Q4 FY26 (bed capacity 3,665). </w:t>
      </w:r>
      <w:hyperlink w:history="1" r:id="rIdf8fhc3vg73bv8ptvcnhf9">
        <w:r>
          <w:rPr>
            <w:rFonts w:ascii="Calibri" w:cs="Calibri" w:eastAsia="Calibri" w:hAnsi="Calibri"/>
            <w:color w:val="2E5C8A"/>
            <w:sz w:val="14"/>
            <w:szCs w:val="14"/>
            <w:u w:val="single"/>
          </w:rPr>
          <w:t xml:space="preserve">https://www.whalesbook.com/news/Hinglish/healthcare/Medantas-Q4-Earnings-Soar-42percent-Amid-Expansion-Analyst-Lifts-Price-Target/6a0c31c7d94fcc5ede404a42</w:t>
        </w:r>
      </w:hyperlink>
    </w:p>
    <w:p>
      <w:pPr>
        <w:spacing w:after="40"/>
        <w:ind w:left="360" w:hanging="360"/>
      </w:pPr>
      <w:r>
        <w:rPr>
          <w:rFonts w:ascii="Calibri" w:cs="Calibri" w:eastAsia="Calibri" w:hAnsi="Calibri"/>
          <w:sz w:val="16"/>
          <w:szCs w:val="16"/>
        </w:rPr>
        <w:t xml:space="preserve">11.  Indian Pharma Post, Medanta FY26 (developing hospitals, Noida). </w:t>
      </w:r>
      <w:hyperlink w:history="1" r:id="rIdngwqpa63zjjkdulajtv0b">
        <w:r>
          <w:rPr>
            <w:rFonts w:ascii="Calibri" w:cs="Calibri" w:eastAsia="Calibri" w:hAnsi="Calibri"/>
            <w:color w:val="2E5C8A"/>
            <w:sz w:val="14"/>
            <w:szCs w:val="14"/>
            <w:u w:val="single"/>
          </w:rPr>
          <w:t xml:space="preserve">https://www.indianpharmapost.com/hospitals/lite/medanta-delivers-record-fy26-performance-as-revenue-surges-profit-jumps-with-expansion-20233</w:t>
        </w:r>
      </w:hyperlink>
    </w:p>
    <w:p>
      <w:pPr>
        <w:spacing w:after="40"/>
        <w:ind w:left="360" w:hanging="360"/>
      </w:pPr>
      <w:r>
        <w:rPr>
          <w:rFonts w:ascii="Calibri" w:cs="Calibri" w:eastAsia="Calibri" w:hAnsi="Calibri"/>
          <w:sz w:val="16"/>
          <w:szCs w:val="16"/>
        </w:rPr>
        <w:t xml:space="preserve">12.  Narayana Health, Q4 FY26 investor presentation (NSE filing, 22 May 2026). </w:t>
      </w:r>
      <w:hyperlink w:history="1" r:id="rIdvu7hkhjzorr0o6ketidz9">
        <w:r>
          <w:rPr>
            <w:rFonts w:ascii="Calibri" w:cs="Calibri" w:eastAsia="Calibri" w:hAnsi="Calibri"/>
            <w:color w:val="2E5C8A"/>
            <w:sz w:val="14"/>
            <w:szCs w:val="14"/>
            <w:u w:val="single"/>
          </w:rPr>
          <w:t xml:space="preserve">https://nsearchives.nseindia.com/corporate/Narayana_22052026221029_NHLSEInvestorPresentation.pdf</w:t>
        </w:r>
      </w:hyperlink>
    </w:p>
    <w:p>
      <w:pPr>
        <w:spacing w:after="40"/>
        <w:ind w:left="360" w:hanging="360"/>
      </w:pPr>
      <w:r>
        <w:rPr>
          <w:rFonts w:ascii="Calibri" w:cs="Calibri" w:eastAsia="Calibri" w:hAnsi="Calibri"/>
          <w:sz w:val="16"/>
          <w:szCs w:val="16"/>
        </w:rPr>
        <w:t xml:space="preserve">13.  ScanX, Narayana Hrudayalaya FY26 annual report (India hospital revenue). </w:t>
      </w:r>
      <w:hyperlink w:history="1" r:id="rId0zijjpsivltsfwgnvvyqk">
        <w:r>
          <w:rPr>
            <w:rFonts w:ascii="Calibri" w:cs="Calibri" w:eastAsia="Calibri" w:hAnsi="Calibri"/>
            <w:color w:val="2E5C8A"/>
            <w:sz w:val="14"/>
            <w:szCs w:val="14"/>
            <w:u w:val="single"/>
          </w:rPr>
          <w:t xml:space="preserve">https://scanx.trade/stock-market-news/companies/narayana-hrudayalaya-submits-fy-2025-26-annual-report-consolidated-revenue-surges-44-to-78-960-35-million/46412033</w:t>
        </w:r>
      </w:hyperlink>
    </w:p>
    <w:p>
      <w:pPr>
        <w:spacing w:after="40"/>
        <w:ind w:left="360" w:hanging="360"/>
      </w:pPr>
      <w:r>
        <w:rPr>
          <w:rFonts w:ascii="Calibri" w:cs="Calibri" w:eastAsia="Calibri" w:hAnsi="Calibri"/>
          <w:sz w:val="16"/>
          <w:szCs w:val="16"/>
        </w:rPr>
        <w:t xml:space="preserve">14.  ScanX, Aster DM FY26 investor presentation. </w:t>
      </w:r>
      <w:hyperlink w:history="1" r:id="rIdfu8ntgyqcgesci0udsixh">
        <w:r>
          <w:rPr>
            <w:rFonts w:ascii="Calibri" w:cs="Calibri" w:eastAsia="Calibri" w:hAnsi="Calibri"/>
            <w:color w:val="2E5C8A"/>
            <w:sz w:val="14"/>
            <w:szCs w:val="14"/>
            <w:u w:val="single"/>
          </w:rPr>
          <w:t xml:space="preserve">https://scanx.trade/stock-market-news/companies/aster-dm-reports-fy26-revenue-of-4-643-crore-merger-update/42019095</w:t>
        </w:r>
      </w:hyperlink>
    </w:p>
    <w:p>
      <w:pPr>
        <w:spacing w:after="40"/>
        <w:ind w:left="360" w:hanging="360"/>
      </w:pPr>
      <w:r>
        <w:rPr>
          <w:rFonts w:ascii="Calibri" w:cs="Calibri" w:eastAsia="Calibri" w:hAnsi="Calibri"/>
          <w:sz w:val="16"/>
          <w:szCs w:val="16"/>
        </w:rPr>
        <w:t xml:space="preserve">15.  Quartr, Aster DM Quality Care investor presentation summary (ALOS). </w:t>
      </w:r>
      <w:hyperlink w:history="1" r:id="rIdbyxpbns-0gu-qr3kolbni">
        <w:r>
          <w:rPr>
            <w:rFonts w:ascii="Calibri" w:cs="Calibri" w:eastAsia="Calibri" w:hAnsi="Calibri"/>
            <w:color w:val="2E5C8A"/>
            <w:sz w:val="14"/>
            <w:szCs w:val="14"/>
            <w:u w:val="single"/>
          </w:rPr>
          <w:t xml:space="preserve">https://quartr.com/events/aster-dm-quality-care-limited-asterdm-investor-presentation_FPm8rWk3</w:t>
        </w:r>
      </w:hyperlink>
    </w:p>
    <w:p>
      <w:pPr>
        <w:spacing w:after="40"/>
        <w:ind w:left="360" w:hanging="360"/>
      </w:pPr>
      <w:r>
        <w:rPr>
          <w:rFonts w:ascii="Calibri" w:cs="Calibri" w:eastAsia="Calibri" w:hAnsi="Calibri"/>
          <w:sz w:val="16"/>
          <w:szCs w:val="16"/>
        </w:rPr>
        <w:t xml:space="preserve">16.  Yahoo Finance, KIMS Q4 FY26 earnings call highlights. </w:t>
      </w:r>
      <w:hyperlink w:history="1" r:id="rIdbg-sgewen3riyfq3b1gdj">
        <w:r>
          <w:rPr>
            <w:rFonts w:ascii="Calibri" w:cs="Calibri" w:eastAsia="Calibri" w:hAnsi="Calibri"/>
            <w:color w:val="2E5C8A"/>
            <w:sz w:val="14"/>
            <w:szCs w:val="14"/>
            <w:u w:val="single"/>
          </w:rPr>
          <w:t xml:space="preserve">https://finance.yahoo.com/sectors/healthcare/articles/krishna-institute-medical-sciences-ltd-010034887.html</w:t>
        </w:r>
      </w:hyperlink>
    </w:p>
    <w:p>
      <w:pPr>
        <w:spacing w:after="40"/>
        <w:ind w:left="360" w:hanging="360"/>
      </w:pPr>
      <w:r>
        <w:rPr>
          <w:rFonts w:ascii="Calibri" w:cs="Calibri" w:eastAsia="Calibri" w:hAnsi="Calibri"/>
          <w:sz w:val="16"/>
          <w:szCs w:val="16"/>
        </w:rPr>
        <w:t xml:space="preserve">17.  ScanX, KIMS FY26 annual report (beds, occupancy, ARPOB). </w:t>
      </w:r>
      <w:hyperlink w:history="1" r:id="rIdr0dk_-arvubvglkqjhmcf">
        <w:r>
          <w:rPr>
            <w:rFonts w:ascii="Calibri" w:cs="Calibri" w:eastAsia="Calibri" w:hAnsi="Calibri"/>
            <w:color w:val="2E5C8A"/>
            <w:sz w:val="14"/>
            <w:szCs w:val="14"/>
            <w:u w:val="single"/>
          </w:rPr>
          <w:t xml:space="preserve">https://scanx.trade/stock-market-news/companies/kims-hospitals-fy26-results-revenue-up-28-pat-drops-42/47501764</w:t>
        </w:r>
      </w:hyperlink>
    </w:p>
    <w:p>
      <w:pPr>
        <w:spacing w:after="40"/>
        <w:ind w:left="360" w:hanging="360"/>
      </w:pPr>
      <w:r>
        <w:rPr>
          <w:rFonts w:ascii="Calibri" w:cs="Calibri" w:eastAsia="Calibri" w:hAnsi="Calibri"/>
          <w:sz w:val="16"/>
          <w:szCs w:val="16"/>
        </w:rPr>
        <w:t xml:space="preserve">18.  ScanX, KIMS Q4 FY26 results (mature-unit margin). </w:t>
      </w:r>
      <w:hyperlink w:history="1" r:id="rIdelvbwpmtf73yjpwyptsdo">
        <w:r>
          <w:rPr>
            <w:rFonts w:ascii="Calibri" w:cs="Calibri" w:eastAsia="Calibri" w:hAnsi="Calibri"/>
            <w:color w:val="2E5C8A"/>
            <w:sz w:val="14"/>
            <w:szCs w:val="14"/>
            <w:u w:val="single"/>
          </w:rPr>
          <w:t xml:space="preserve">https://scanx.trade/stock-market-news/companies/krishna-institute-of-medical-sciences-q4-results-net-profit-declines-to-425m-rupees-despite-revenue-growth/40421829</w:t>
        </w:r>
      </w:hyperlink>
    </w:p>
    <w:p>
      <w:pPr>
        <w:spacing w:after="40"/>
        <w:ind w:left="360" w:hanging="360"/>
      </w:pPr>
      <w:r>
        <w:rPr>
          <w:rFonts w:ascii="Calibri" w:cs="Calibri" w:eastAsia="Calibri" w:hAnsi="Calibri"/>
          <w:sz w:val="16"/>
          <w:szCs w:val="16"/>
        </w:rPr>
        <w:t xml:space="preserve">19.  Outlook Business, Park Medi World FY26. </w:t>
      </w:r>
      <w:hyperlink w:history="1" r:id="rId-mbfe1ri8xdrlacppszgv">
        <w:r>
          <w:rPr>
            <w:rFonts w:ascii="Calibri" w:cs="Calibri" w:eastAsia="Calibri" w:hAnsi="Calibri"/>
            <w:color w:val="2E5C8A"/>
            <w:sz w:val="14"/>
            <w:szCs w:val="14"/>
            <w:u w:val="single"/>
          </w:rPr>
          <w:t xml:space="preserve">https://www.outlookbusiness.com/spotlight/news-wire/park-medi-world-posts-record-fy26-revenue-and-profit-targets-5-740-bed-network-by-march-2028</w:t>
        </w:r>
      </w:hyperlink>
    </w:p>
    <w:p>
      <w:pPr>
        <w:spacing w:after="40"/>
        <w:ind w:left="360" w:hanging="360"/>
      </w:pPr>
      <w:r>
        <w:rPr>
          <w:rFonts w:ascii="Calibri" w:cs="Calibri" w:eastAsia="Calibri" w:hAnsi="Calibri"/>
          <w:sz w:val="16"/>
          <w:szCs w:val="16"/>
        </w:rPr>
        <w:t xml:space="preserve">20.  IndiaIPO, Park Medi World FY26 (debtor days). </w:t>
      </w:r>
      <w:hyperlink w:history="1" r:id="rIdrsd-fetryy3lpz8bwuvvg">
        <w:r>
          <w:rPr>
            <w:rFonts w:ascii="Calibri" w:cs="Calibri" w:eastAsia="Calibri" w:hAnsi="Calibri"/>
            <w:color w:val="2E5C8A"/>
            <w:sz w:val="14"/>
            <w:szCs w:val="14"/>
            <w:u w:val="single"/>
          </w:rPr>
          <w:t xml:space="preserve">https://www.indiaipo.in/news/detail/park-medi-world-reports-record-fy26-revenue-of-inr-16794-mn-ebitda-up-20-yoy</w:t>
        </w:r>
      </w:hyperlink>
    </w:p>
    <w:p>
      <w:pPr>
        <w:spacing w:after="40"/>
        <w:ind w:left="360" w:hanging="360"/>
      </w:pPr>
      <w:r>
        <w:rPr>
          <w:rFonts w:ascii="Calibri" w:cs="Calibri" w:eastAsia="Calibri" w:hAnsi="Calibri"/>
          <w:sz w:val="16"/>
          <w:szCs w:val="16"/>
        </w:rPr>
        <w:t xml:space="preserve">21.  ScanX, Jupiter Life Line Q4 &amp; FY26 results. </w:t>
      </w:r>
      <w:hyperlink w:history="1" r:id="rId5hflluclet1mtzv_iedzs">
        <w:r>
          <w:rPr>
            <w:rFonts w:ascii="Calibri" w:cs="Calibri" w:eastAsia="Calibri" w:hAnsi="Calibri"/>
            <w:color w:val="2E5C8A"/>
            <w:sz w:val="14"/>
            <w:szCs w:val="14"/>
            <w:u w:val="single"/>
          </w:rPr>
          <w:t xml:space="preserve">https://scanx.trade/stock-market-news/companies/jupiter-life-line-hospitals-schedules-q4-fy26-earnings-conference-call-for-may-18-2026/40065720</w:t>
        </w:r>
      </w:hyperlink>
    </w:p>
    <w:p>
      <w:pPr>
        <w:spacing w:after="40"/>
        <w:ind w:left="360" w:hanging="360"/>
      </w:pPr>
      <w:r>
        <w:rPr>
          <w:rFonts w:ascii="Calibri" w:cs="Calibri" w:eastAsia="Calibri" w:hAnsi="Calibri"/>
          <w:sz w:val="16"/>
          <w:szCs w:val="16"/>
        </w:rPr>
        <w:t xml:space="preserve">22.  Multibagg, Yatharth Hospitals Q4 FY26. </w:t>
      </w:r>
      <w:hyperlink w:history="1" r:id="rIdw4ve80q8sa7hb-mzovlqi">
        <w:r>
          <w:rPr>
            <w:rFonts w:ascii="Calibri" w:cs="Calibri" w:eastAsia="Calibri" w:hAnsi="Calibri"/>
            <w:color w:val="2E5C8A"/>
            <w:sz w:val="14"/>
            <w:szCs w:val="14"/>
            <w:u w:val="single"/>
          </w:rPr>
          <w:t xml:space="preserve">https://www.multibagg.ai/market-pulse/articles/yatharth-q4fy26-94935</w:t>
        </w:r>
      </w:hyperlink>
    </w:p>
    <w:p>
      <w:pPr>
        <w:spacing w:after="40"/>
        <w:ind w:left="360" w:hanging="360"/>
      </w:pPr>
      <w:r>
        <w:rPr>
          <w:rFonts w:ascii="Calibri" w:cs="Calibri" w:eastAsia="Calibri" w:hAnsi="Calibri"/>
          <w:sz w:val="16"/>
          <w:szCs w:val="16"/>
        </w:rPr>
        <w:t xml:space="preserve">23.  ScanX, Yatharth FY26 (cash conversion). </w:t>
      </w:r>
      <w:hyperlink w:history="1" r:id="rIdqt2xi3dq1xohuhhlej-o_">
        <w:r>
          <w:rPr>
            <w:rFonts w:ascii="Calibri" w:cs="Calibri" w:eastAsia="Calibri" w:hAnsi="Calibri"/>
            <w:color w:val="2E5C8A"/>
            <w:sz w:val="14"/>
            <w:szCs w:val="14"/>
            <w:u w:val="single"/>
          </w:rPr>
          <w:t xml:space="preserve">https://scanx.trade/stock-market-news/companies/yatharth-hospital-to-attend-investor-conference-on-june-10/42285162</w:t>
        </w:r>
      </w:hyperlink>
    </w:p>
    <w:p>
      <w:pPr>
        <w:spacing w:after="40"/>
        <w:ind w:left="360" w:hanging="360"/>
      </w:pPr>
      <w:r>
        <w:rPr>
          <w:rFonts w:ascii="Calibri" w:cs="Calibri" w:eastAsia="Calibri" w:hAnsi="Calibri"/>
          <w:sz w:val="16"/>
          <w:szCs w:val="16"/>
        </w:rPr>
        <w:t xml:space="preserve">24.  MoneyMuscle, Yatharth FY26 results (government share of revenue). </w:t>
      </w:r>
      <w:hyperlink w:history="1" r:id="rIdhrkrnwktasrygot0g34zc">
        <w:r>
          <w:rPr>
            <w:rFonts w:ascii="Calibri" w:cs="Calibri" w:eastAsia="Calibri" w:hAnsi="Calibri"/>
            <w:color w:val="2E5C8A"/>
            <w:sz w:val="14"/>
            <w:szCs w:val="14"/>
            <w:u w:val="single"/>
          </w:rPr>
          <w:t xml:space="preserve">https://www.moneymuscle.in/p/yatharth-hospital-fy26-result-q4-26-earnings</w:t>
        </w:r>
      </w:hyperlink>
    </w:p>
    <w:p>
      <w:pPr>
        <w:spacing w:after="40"/>
        <w:ind w:left="360" w:hanging="360"/>
      </w:pPr>
      <w:r>
        <w:rPr>
          <w:rFonts w:ascii="Calibri" w:cs="Calibri" w:eastAsia="Calibri" w:hAnsi="Calibri"/>
          <w:sz w:val="16"/>
          <w:szCs w:val="16"/>
        </w:rPr>
        <w:t xml:space="preserve">25.  ScanX, Artemis Medicare FY26 annual report. </w:t>
      </w:r>
      <w:hyperlink w:history="1" r:id="rIdhdvxea96ktna7mzjyqmho">
        <w:r>
          <w:rPr>
            <w:rFonts w:ascii="Calibri" w:cs="Calibri" w:eastAsia="Calibri" w:hAnsi="Calibri"/>
            <w:color w:val="2E5C8A"/>
            <w:sz w:val="14"/>
            <w:szCs w:val="14"/>
            <w:u w:val="single"/>
          </w:rPr>
          <w:t xml:space="preserve">https://scanx.trade/stock-market-news/companies/artemis-medicare-services-ltd-schedules-22nd-annual-general-meeting-on-july-31-2026-reports-strong-fy26-financial-performance/44973490</w:t>
        </w:r>
      </w:hyperlink>
    </w:p>
    <w:p>
      <w:pPr>
        <w:spacing w:after="40"/>
        <w:ind w:left="360" w:hanging="360"/>
      </w:pPr>
      <w:r>
        <w:rPr>
          <w:rFonts w:ascii="Calibri" w:cs="Calibri" w:eastAsia="Calibri" w:hAnsi="Calibri"/>
          <w:sz w:val="16"/>
          <w:szCs w:val="16"/>
        </w:rPr>
        <w:t xml:space="preserve">26.  ScanX, Artemis Medicare Q2 FY26 (international share of revenue). </w:t>
      </w:r>
      <w:hyperlink w:history="1" r:id="rIdta-smqwsd4pgtwy-5tglu">
        <w:r>
          <w:rPr>
            <w:rFonts w:ascii="Calibri" w:cs="Calibri" w:eastAsia="Calibri" w:hAnsi="Calibri"/>
            <w:color w:val="2E5C8A"/>
            <w:sz w:val="14"/>
            <w:szCs w:val="14"/>
            <w:u w:val="single"/>
          </w:rPr>
          <w:t xml:space="preserve">https://scanx.trade/stock-market-news/earnings/artemis-medicare-services-reports-strong-q2-fy26-results-unveils-expansion-plans/24419570</w:t>
        </w:r>
      </w:hyperlink>
    </w:p>
    <w:p>
      <w:pPr>
        <w:spacing w:after="40"/>
        <w:ind w:left="360" w:hanging="360"/>
      </w:pPr>
      <w:r>
        <w:rPr>
          <w:rFonts w:ascii="Calibri" w:cs="Calibri" w:eastAsia="Calibri" w:hAnsi="Calibri"/>
          <w:sz w:val="16"/>
          <w:szCs w:val="16"/>
        </w:rPr>
        <w:t xml:space="preserve">27.  Multibagg, Rainbow Children's Medicare Q4 FY26. </w:t>
      </w:r>
      <w:hyperlink w:history="1" r:id="rIdjxajagfaec8_pf5psemt2">
        <w:r>
          <w:rPr>
            <w:rFonts w:ascii="Calibri" w:cs="Calibri" w:eastAsia="Calibri" w:hAnsi="Calibri"/>
            <w:color w:val="2E5C8A"/>
            <w:sz w:val="14"/>
            <w:szCs w:val="14"/>
            <w:u w:val="single"/>
          </w:rPr>
          <w:t xml:space="preserve">https://www.multibagg.ai/market-pulse/articles/rainbow-q4fy26-94823</w:t>
        </w:r>
      </w:hyperlink>
    </w:p>
    <w:p>
      <w:pPr>
        <w:spacing w:after="40"/>
        <w:ind w:left="360" w:hanging="360"/>
      </w:pPr>
      <w:r>
        <w:rPr>
          <w:rFonts w:ascii="Calibri" w:cs="Calibri" w:eastAsia="Calibri" w:hAnsi="Calibri"/>
          <w:sz w:val="16"/>
          <w:szCs w:val="16"/>
        </w:rPr>
        <w:t xml:space="preserve">28.  Multibagg, HCG FY26 (revenue, adjusted EBITDA, payor mix). </w:t>
      </w:r>
      <w:hyperlink w:history="1" r:id="rIdv-shbf7kq1ey2jwtep1z8">
        <w:r>
          <w:rPr>
            <w:rFonts w:ascii="Calibri" w:cs="Calibri" w:eastAsia="Calibri" w:hAnsi="Calibri"/>
            <w:color w:val="2E5C8A"/>
            <w:sz w:val="14"/>
            <w:szCs w:val="14"/>
            <w:u w:val="single"/>
          </w:rPr>
          <w:t xml:space="preserve">https://www.multibagg.ai/market-pulse/articles/hcg-fy26-results-94347</w:t>
        </w:r>
      </w:hyperlink>
    </w:p>
    <w:p>
      <w:pPr>
        <w:spacing w:after="40"/>
        <w:ind w:left="360" w:hanging="360"/>
      </w:pPr>
      <w:r>
        <w:rPr>
          <w:rFonts w:ascii="Calibri" w:cs="Calibri" w:eastAsia="Calibri" w:hAnsi="Calibri"/>
          <w:sz w:val="16"/>
          <w:szCs w:val="16"/>
        </w:rPr>
        <w:t xml:space="preserve">29.  ICRA, HCG Oncology Hospitals LLP rating rationale (9M FY26 ARPOB, occupancy). </w:t>
      </w:r>
      <w:hyperlink w:history="1" r:id="rId7bjgkokqzni9pgsgzmgia">
        <w:r>
          <w:rPr>
            <w:rFonts w:ascii="Calibri" w:cs="Calibri" w:eastAsia="Calibri" w:hAnsi="Calibri"/>
            <w:color w:val="2E5C8A"/>
            <w:sz w:val="14"/>
            <w:szCs w:val="14"/>
            <w:u w:val="single"/>
          </w:rPr>
          <w:t xml:space="preserve">https://www.icra.in/Rating/ShowRationalReportFilePdf/141857</w:t>
        </w:r>
      </w:hyperlink>
    </w:p>
    <w:p>
      <w:pPr>
        <w:spacing w:after="40"/>
        <w:ind w:left="360" w:hanging="360"/>
      </w:pPr>
      <w:r>
        <w:rPr>
          <w:rFonts w:ascii="Calibri" w:cs="Calibri" w:eastAsia="Calibri" w:hAnsi="Calibri"/>
          <w:sz w:val="16"/>
          <w:szCs w:val="16"/>
        </w:rPr>
        <w:t xml:space="preserve">30.  Multibagg, Q4 FY26 Indian hospital sector synthesis (HCG beds). </w:t>
      </w:r>
      <w:hyperlink w:history="1" r:id="rId9edqs38qajd9oblcsi-ru">
        <w:r>
          <w:rPr>
            <w:rFonts w:ascii="Calibri" w:cs="Calibri" w:eastAsia="Calibri" w:hAnsi="Calibri"/>
            <w:color w:val="2E5C8A"/>
            <w:sz w:val="14"/>
            <w:szCs w:val="14"/>
            <w:u w:val="single"/>
          </w:rPr>
          <w:t xml:space="preserve">https://www.multibagg.ai/deep-dive/sector-analysis/q4-fy2026-indian-hospital-sector-strategic-synthesis-cmraxnc8900222rm4cmtsto47</w:t>
        </w:r>
      </w:hyperlink>
    </w:p>
    <w:p>
      <w:pPr>
        <w:spacing w:after="40"/>
        <w:ind w:left="360" w:hanging="360"/>
      </w:pPr>
      <w:r>
        <w:rPr>
          <w:rFonts w:ascii="Calibri" w:cs="Calibri" w:eastAsia="Calibri" w:hAnsi="Calibri"/>
          <w:sz w:val="16"/>
          <w:szCs w:val="16"/>
        </w:rPr>
        <w:t xml:space="preserve">31.  ScanX, Dr Agarwal's Health Care FY26 results. </w:t>
      </w:r>
      <w:hyperlink w:history="1" r:id="rIdcz1lkmb9q2nm6g4vzxv56">
        <w:r>
          <w:rPr>
            <w:rFonts w:ascii="Calibri" w:cs="Calibri" w:eastAsia="Calibri" w:hAnsi="Calibri"/>
            <w:color w:val="2E5C8A"/>
            <w:sz w:val="14"/>
            <w:szCs w:val="14"/>
            <w:u w:val="single"/>
          </w:rPr>
          <w:t xml:space="preserve">https://scanx.trade/stock-market-news/companies/dr-agarwal-s-health-care-reports-strong-q4-growth-with-net-profit-at-397m-rupees-and-revenue-at-5-64b-rupees/40922181</w:t>
        </w:r>
      </w:hyperlink>
    </w:p>
    <w:p>
      <w:pPr>
        <w:spacing w:after="40"/>
        <w:ind w:left="360" w:hanging="360"/>
      </w:pPr>
      <w:r>
        <w:rPr>
          <w:rFonts w:ascii="Calibri" w:cs="Calibri" w:eastAsia="Calibri" w:hAnsi="Calibri"/>
          <w:sz w:val="16"/>
          <w:szCs w:val="16"/>
        </w:rPr>
        <w:t xml:space="preserve">32.  Dr Agarwal's Health Care, Q4 &amp; FY26 investor presentation (EBITDA definition). </w:t>
      </w:r>
      <w:hyperlink w:history="1" r:id="rIdt4wik9ekkcvokojkxdopr">
        <w:r>
          <w:rPr>
            <w:rFonts w:ascii="Calibri" w:cs="Calibri" w:eastAsia="Calibri" w:hAnsi="Calibri"/>
            <w:color w:val="2E5C8A"/>
            <w:sz w:val="14"/>
            <w:szCs w:val="14"/>
            <w:u w:val="single"/>
          </w:rPr>
          <w:t xml:space="preserve">https://dragarwals.co.in/wp-content/uploads/2026/05/Investor-Presentation-Q4.pdf</w:t>
        </w:r>
      </w:hyperlink>
    </w:p>
    <w:p>
      <w:pPr>
        <w:spacing w:after="40"/>
        <w:ind w:left="360" w:hanging="360"/>
      </w:pPr>
      <w:r>
        <w:rPr>
          <w:rFonts w:ascii="Calibri" w:cs="Calibri" w:eastAsia="Calibri" w:hAnsi="Calibri"/>
          <w:sz w:val="16"/>
          <w:szCs w:val="16"/>
        </w:rPr>
        <w:t xml:space="preserve">33.  Yahoo Finance, Dr Agarwal's FY26 earnings call highlights. </w:t>
      </w:r>
      <w:hyperlink w:history="1" r:id="rIdo9tf4qtqt0nv0bpgfo6c2">
        <w:r>
          <w:rPr>
            <w:rFonts w:ascii="Calibri" w:cs="Calibri" w:eastAsia="Calibri" w:hAnsi="Calibri"/>
            <w:color w:val="2E5C8A"/>
            <w:sz w:val="14"/>
            <w:szCs w:val="14"/>
            <w:u w:val="single"/>
          </w:rPr>
          <w:t xml:space="preserve">https://finance.yahoo.com/sectors/healthcare/articles/dr-agarwals-health-care-ltd-030328470.html</w:t>
        </w:r>
      </w:hyperlink>
    </w:p>
    <w:p>
      <w:pPr>
        <w:spacing w:after="40"/>
        <w:ind w:left="360" w:hanging="360"/>
      </w:pPr>
      <w:r>
        <w:rPr>
          <w:rFonts w:ascii="Calibri" w:cs="Calibri" w:eastAsia="Calibri" w:hAnsi="Calibri"/>
          <w:sz w:val="16"/>
          <w:szCs w:val="16"/>
        </w:rPr>
        <w:t xml:space="preserve">34.  Multibagg, Shalby Q4 FY26. </w:t>
      </w:r>
      <w:hyperlink w:history="1" r:id="rId-kjycpvgcvnkto9nq19uo">
        <w:r>
          <w:rPr>
            <w:rFonts w:ascii="Calibri" w:cs="Calibri" w:eastAsia="Calibri" w:hAnsi="Calibri"/>
            <w:color w:val="2E5C8A"/>
            <w:sz w:val="14"/>
            <w:szCs w:val="14"/>
            <w:u w:val="single"/>
          </w:rPr>
          <w:t xml:space="preserve">https://www.multibagg.ai/market-pulse/articles/shalby-q4fy26-95178</w:t>
        </w:r>
      </w:hyperlink>
    </w:p>
    <w:p>
      <w:pPr>
        <w:spacing w:after="40"/>
        <w:ind w:left="360" w:hanging="360"/>
      </w:pPr>
      <w:r>
        <w:rPr>
          <w:rFonts w:ascii="Calibri" w:cs="Calibri" w:eastAsia="Calibri" w:hAnsi="Calibri"/>
          <w:sz w:val="16"/>
          <w:szCs w:val="16"/>
        </w:rPr>
        <w:t xml:space="preserve">35.  Yahoo Finance, Shalby Q4 FY26 earnings call highlights. </w:t>
      </w:r>
      <w:hyperlink w:history="1" r:id="rIdnr7bhivlycycfxdmw8c7g">
        <w:r>
          <w:rPr>
            <w:rFonts w:ascii="Calibri" w:cs="Calibri" w:eastAsia="Calibri" w:hAnsi="Calibri"/>
            <w:color w:val="2E5C8A"/>
            <w:sz w:val="14"/>
            <w:szCs w:val="14"/>
            <w:u w:val="single"/>
          </w:rPr>
          <w:t xml:space="preserve">https://finance.yahoo.com/markets/stocks/articles/shalby-ltd-bom-540797-q4-010309620.html</w:t>
        </w:r>
      </w:hyperlink>
    </w:p>
    <w:p>
      <w:pPr>
        <w:spacing w:after="40"/>
        <w:ind w:left="360" w:hanging="360"/>
      </w:pPr>
      <w:r>
        <w:rPr>
          <w:rFonts w:ascii="Calibri" w:cs="Calibri" w:eastAsia="Calibri" w:hAnsi="Calibri"/>
          <w:sz w:val="16"/>
          <w:szCs w:val="16"/>
        </w:rPr>
        <w:t xml:space="preserve">36.  ICRA, Indian hospital sector research: FY2026 performance of rated sample. </w:t>
      </w:r>
      <w:hyperlink w:history="1" r:id="rId5af8vywrm3kgoswxn8nnc">
        <w:r>
          <w:rPr>
            <w:rFonts w:ascii="Calibri" w:cs="Calibri" w:eastAsia="Calibri" w:hAnsi="Calibri"/>
            <w:color w:val="2E5C8A"/>
            <w:sz w:val="14"/>
            <w:szCs w:val="14"/>
            <w:u w:val="single"/>
          </w:rPr>
          <w:t xml:space="preserve">https://www.icra.in/Research/ViewResearchReport/7044</w:t>
        </w:r>
      </w:hyperlink>
    </w:p>
    <w:p>
      <w:pPr>
        <w:spacing w:after="60"/>
      </w:pPr>
    </w:p>
    <w:p>
      <w:pPr>
        <w:spacing w:after="160" w:line="276"/>
      </w:pPr>
      <w:r>
        <w:rPr>
          <w:rFonts w:ascii="Calibri" w:cs="Calibri" w:eastAsia="Calibri" w:hAnsi="Calibri"/>
          <w:i/>
          <w:iCs/>
          <w:color w:val="595959"/>
          <w:sz w:val="16"/>
          <w:szCs w:val="16"/>
        </w:rPr>
        <w:t xml:space="preserve">Method frameworks: internal benchmarking series, parts 1–4 (How to Benchmark a Business; The Metrics That Actually Carry a Diagnosis; When Revenue Multiples Apply; MCA Data Is a Good Starting Point).</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Hospital benchmarking FY26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jfa1sxsrdusuwa6c6dyv" Type="http://schemas.openxmlformats.org/officeDocument/2006/relationships/hyperlink" Target="https://www.apollohospitals.com/sites/default/files/2026-05/ahel-q4fy26-resullts-release.pdf" TargetMode="External"/><Relationship Id="rIdipeqdwsw4jwjzyw798uik" Type="http://schemas.openxmlformats.org/officeDocument/2006/relationships/hyperlink" Target="https://quartr.com/events/apollo-hospitals-enterprise-limited-apollohosp-q4-25-26_FYSsn3Zb" TargetMode="External"/><Relationship Id="rId3gt04dgu6vs6oaiwnx2r5" Type="http://schemas.openxmlformats.org/officeDocument/2006/relationships/hyperlink" Target="https://www.multibagg.ai/market-pulse/articles/apollo-q4fy26-94450" TargetMode="External"/><Relationship Id="rId4siwxnbxgc9galb2r2hei" Type="http://schemas.openxmlformats.org/officeDocument/2006/relationships/hyperlink" Target="https://www.alphaspread.com/security/nse/apollohosp/investor-relations/earnings-call/q2-2026" TargetMode="External"/><Relationship Id="rIdj3wixj57tgqqha1oad1ke" Type="http://schemas.openxmlformats.org/officeDocument/2006/relationships/hyperlink" Target="https://nsearchives.nseindia.com/corporate/MAXHEALTH_21052026163255_SE_Intimation_Final.pdf" TargetMode="External"/><Relationship Id="rIdcpxmmi5dosfhci0ynxxzg" Type="http://schemas.openxmlformats.org/officeDocument/2006/relationships/hyperlink" Target="https://aninews.in/news/business/fortis-healthcare-pat-jumps-44-in-q4-as-ebitda-margins-expand-fy26-profit-rises-3120260523141723/" TargetMode="External"/><Relationship Id="rIdfosq0bvpmdzjd_hmn5euo" Type="http://schemas.openxmlformats.org/officeDocument/2006/relationships/hyperlink" Target="https://www.fortishealthcare.com/investor/investor%20presentations%20&amp;%20transcripts/earnings%20call%20transcript%20for%20the%20quarter%20and%20year%20ended%20march%202026" TargetMode="External"/><Relationship Id="rIde39f-uexubzvywypiho24" Type="http://schemas.openxmlformats.org/officeDocument/2006/relationships/hyperlink" Target="https://www.fortishealthcare.com/investor/investor%20presentations%20&amp;%20transcripts/fhl%20-%20q4fy26%20and%20fy26%20press%20release" TargetMode="External"/><Relationship Id="rIdeat5w9_ztanqnkrhj7sib" Type="http://schemas.openxmlformats.org/officeDocument/2006/relationships/hyperlink" Target="https://medicalbuyer.co.in/strong-finish-confident-start-healthcares-fy26-to-fy27-turn/" TargetMode="External"/><Relationship Id="rIdf8fhc3vg73bv8ptvcnhf9" Type="http://schemas.openxmlformats.org/officeDocument/2006/relationships/hyperlink" Target="https://www.whalesbook.com/news/Hinglish/healthcare/Medantas-Q4-Earnings-Soar-42percent-Amid-Expansion-Analyst-Lifts-Price-Target/6a0c31c7d94fcc5ede404a42" TargetMode="External"/><Relationship Id="rIdngwqpa63zjjkdulajtv0b" Type="http://schemas.openxmlformats.org/officeDocument/2006/relationships/hyperlink" Target="https://www.indianpharmapost.com/hospitals/lite/medanta-delivers-record-fy26-performance-as-revenue-surges-profit-jumps-with-expansion-20233" TargetMode="External"/><Relationship Id="rIdvu7hkhjzorr0o6ketidz9" Type="http://schemas.openxmlformats.org/officeDocument/2006/relationships/hyperlink" Target="https://nsearchives.nseindia.com/corporate/Narayana_22052026221029_NHLSEInvestorPresentation.pdf" TargetMode="External"/><Relationship Id="rId0zijjpsivltsfwgnvvyqk" Type="http://schemas.openxmlformats.org/officeDocument/2006/relationships/hyperlink" Target="https://scanx.trade/stock-market-news/companies/narayana-hrudayalaya-submits-fy-2025-26-annual-report-consolidated-revenue-surges-44-to-78-960-35-million/46412033" TargetMode="External"/><Relationship Id="rIdfu8ntgyqcgesci0udsixh" Type="http://schemas.openxmlformats.org/officeDocument/2006/relationships/hyperlink" Target="https://scanx.trade/stock-market-news/companies/aster-dm-reports-fy26-revenue-of-4-643-crore-merger-update/42019095" TargetMode="External"/><Relationship Id="rIdbyxpbns-0gu-qr3kolbni" Type="http://schemas.openxmlformats.org/officeDocument/2006/relationships/hyperlink" Target="https://quartr.com/events/aster-dm-quality-care-limited-asterdm-investor-presentation_FPm8rWk3" TargetMode="External"/><Relationship Id="rIdbg-sgewen3riyfq3b1gdj" Type="http://schemas.openxmlformats.org/officeDocument/2006/relationships/hyperlink" Target="https://finance.yahoo.com/sectors/healthcare/articles/krishna-institute-medical-sciences-ltd-010034887.html" TargetMode="External"/><Relationship Id="rIdr0dk_-arvubvglkqjhmcf" Type="http://schemas.openxmlformats.org/officeDocument/2006/relationships/hyperlink" Target="https://scanx.trade/stock-market-news/companies/kims-hospitals-fy26-results-revenue-up-28-pat-drops-42/47501764" TargetMode="External"/><Relationship Id="rIdelvbwpmtf73yjpwyptsdo" Type="http://schemas.openxmlformats.org/officeDocument/2006/relationships/hyperlink" Target="https://scanx.trade/stock-market-news/companies/krishna-institute-of-medical-sciences-q4-results-net-profit-declines-to-425m-rupees-despite-revenue-growth/40421829" TargetMode="External"/><Relationship Id="rId-mbfe1ri8xdrlacppszgv" Type="http://schemas.openxmlformats.org/officeDocument/2006/relationships/hyperlink" Target="https://www.outlookbusiness.com/spotlight/news-wire/park-medi-world-posts-record-fy26-revenue-and-profit-targets-5-740-bed-network-by-march-2028" TargetMode="External"/><Relationship Id="rIdrsd-fetryy3lpz8bwuvvg" Type="http://schemas.openxmlformats.org/officeDocument/2006/relationships/hyperlink" Target="https://www.indiaipo.in/news/detail/park-medi-world-reports-record-fy26-revenue-of-inr-16794-mn-ebitda-up-20-yoy" TargetMode="External"/><Relationship Id="rId5hflluclet1mtzv_iedzs" Type="http://schemas.openxmlformats.org/officeDocument/2006/relationships/hyperlink" Target="https://scanx.trade/stock-market-news/companies/jupiter-life-line-hospitals-schedules-q4-fy26-earnings-conference-call-for-may-18-2026/40065720" TargetMode="External"/><Relationship Id="rIdw4ve80q8sa7hb-mzovlqi" Type="http://schemas.openxmlformats.org/officeDocument/2006/relationships/hyperlink" Target="https://www.multibagg.ai/market-pulse/articles/yatharth-q4fy26-94935" TargetMode="External"/><Relationship Id="rIdqt2xi3dq1xohuhhlej-o_" Type="http://schemas.openxmlformats.org/officeDocument/2006/relationships/hyperlink" Target="https://scanx.trade/stock-market-news/companies/yatharth-hospital-to-attend-investor-conference-on-june-10/42285162" TargetMode="External"/><Relationship Id="rIdhrkrnwktasrygot0g34zc" Type="http://schemas.openxmlformats.org/officeDocument/2006/relationships/hyperlink" Target="https://www.moneymuscle.in/p/yatharth-hospital-fy26-result-q4-26-earnings" TargetMode="External"/><Relationship Id="rIdhdvxea96ktna7mzjyqmho" Type="http://schemas.openxmlformats.org/officeDocument/2006/relationships/hyperlink" Target="https://scanx.trade/stock-market-news/companies/artemis-medicare-services-ltd-schedules-22nd-annual-general-meeting-on-july-31-2026-reports-strong-fy26-financial-performance/44973490" TargetMode="External"/><Relationship Id="rIdta-smqwsd4pgtwy-5tglu" Type="http://schemas.openxmlformats.org/officeDocument/2006/relationships/hyperlink" Target="https://scanx.trade/stock-market-news/earnings/artemis-medicare-services-reports-strong-q2-fy26-results-unveils-expansion-plans/24419570" TargetMode="External"/><Relationship Id="rIdjxajagfaec8_pf5psemt2" Type="http://schemas.openxmlformats.org/officeDocument/2006/relationships/hyperlink" Target="https://www.multibagg.ai/market-pulse/articles/rainbow-q4fy26-94823" TargetMode="External"/><Relationship Id="rIdv-shbf7kq1ey2jwtep1z8" Type="http://schemas.openxmlformats.org/officeDocument/2006/relationships/hyperlink" Target="https://www.multibagg.ai/market-pulse/articles/hcg-fy26-results-94347" TargetMode="External"/><Relationship Id="rId7bjgkokqzni9pgsgzmgia" Type="http://schemas.openxmlformats.org/officeDocument/2006/relationships/hyperlink" Target="https://www.icra.in/Rating/ShowRationalReportFilePdf/141857" TargetMode="External"/><Relationship Id="rId9edqs38qajd9oblcsi-ru" Type="http://schemas.openxmlformats.org/officeDocument/2006/relationships/hyperlink" Target="https://www.multibagg.ai/deep-dive/sector-analysis/q4-fy2026-indian-hospital-sector-strategic-synthesis-cmraxnc8900222rm4cmtsto47" TargetMode="External"/><Relationship Id="rIdcz1lkmb9q2nm6g4vzxv56" Type="http://schemas.openxmlformats.org/officeDocument/2006/relationships/hyperlink" Target="https://scanx.trade/stock-market-news/companies/dr-agarwal-s-health-care-reports-strong-q4-growth-with-net-profit-at-397m-rupees-and-revenue-at-5-64b-rupees/40922181" TargetMode="External"/><Relationship Id="rIdt4wik9ekkcvokojkxdopr" Type="http://schemas.openxmlformats.org/officeDocument/2006/relationships/hyperlink" Target="https://dragarwals.co.in/wp-content/uploads/2026/05/Investor-Presentation-Q4.pdf" TargetMode="External"/><Relationship Id="rIdo9tf4qtqt0nv0bpgfo6c2" Type="http://schemas.openxmlformats.org/officeDocument/2006/relationships/hyperlink" Target="https://finance.yahoo.com/sectors/healthcare/articles/dr-agarwals-health-care-ltd-030328470.html" TargetMode="External"/><Relationship Id="rId-kjycpvgcvnkto9nq19uo" Type="http://schemas.openxmlformats.org/officeDocument/2006/relationships/hyperlink" Target="https://www.multibagg.ai/market-pulse/articles/shalby-q4fy26-95178" TargetMode="External"/><Relationship Id="rIdnr7bhivlycycfxdmw8c7g" Type="http://schemas.openxmlformats.org/officeDocument/2006/relationships/hyperlink" Target="https://finance.yahoo.com/markets/stocks/articles/shalby-ltd-bom-540797-q4-010309620.html" TargetMode="External"/><Relationship Id="rId5af8vywrm3kgoswxn8nnc" Type="http://schemas.openxmlformats.org/officeDocument/2006/relationships/hyperlink" Target="https://www.icra.in/Research/ViewResearchReport/7044"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2026-09-25T13:12:34.239Z</dcterms:created>
  <dcterms:modified xsi:type="dcterms:W3CDTF">2026-09-25T13:12:34.239Z</dcterms:modified>
</cp:coreProperties>
</file>

<file path=docProps/custom.xml><?xml version="1.0" encoding="utf-8"?>
<Properties xmlns="http://schemas.openxmlformats.org/officeDocument/2006/custom-properties" xmlns:vt="http://schemas.openxmlformats.org/officeDocument/2006/docPropsVTypes"/>
</file>