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a56db"/>
      </w:pPr>
      <w:r>
        <w:rPr>
          <w:rFonts w:ascii="Calibri" w:hAnsi="Calibri"/>
          <w:b/>
          <w:color w:val="FFFFFF"/>
          <w:sz w:val="36"/>
        </w:rPr>
        <w:t>Google Ads API — Project Description</w:t>
      </w:r>
    </w:p>
    <w:p>
      <w:pPr>
        <w:jc w:val="center"/>
        <w:shd w:val="clear" w:color="auto" w:fill="1e429f"/>
      </w:pPr>
      <w:r>
        <w:rPr>
          <w:rFonts w:ascii="Calibri" w:hAnsi="Calibri"/>
          <w:b/>
          <w:color w:val="FFFFFF"/>
          <w:sz w:val="26"/>
        </w:rPr>
        <w:t>Will's Widgets</w:t>
      </w:r>
    </w:p>
    <w:p/>
    <w:p>
      <w:pPr>
        <w:shd w:val="clear" w:color="auto" w:fill="dbeafe"/>
      </w:pPr>
      <w:r>
        <w:rPr>
          <w:rFonts w:ascii="Calibri" w:hAnsi="Calibri"/>
          <w:b/>
          <w:color w:val="1E429F"/>
          <w:sz w:val="24"/>
        </w:rPr>
        <w:t xml:space="preserve">  1.  Company Name</w:t>
      </w:r>
    </w:p>
    <w:p/>
    <w:p>
      <w:pPr>
        <w:spacing w:after="80"/>
      </w:pPr>
      <w:r>
        <w:rPr>
          <w:rFonts w:ascii="Calibri" w:hAnsi="Calibri"/>
          <w:b/>
          <w:sz w:val="21"/>
        </w:rPr>
        <w:t xml:space="preserve">Company:  </w:t>
      </w:r>
      <w:r>
        <w:rPr>
          <w:rFonts w:ascii="Calibri" w:hAnsi="Calibri"/>
          <w:sz w:val="21"/>
        </w:rPr>
        <w:t>Will's Widgets</w:t>
      </w:r>
    </w:p>
    <w:p/>
    <w:p>
      <w:pPr>
        <w:shd w:val="clear" w:color="auto" w:fill="dbeafe"/>
      </w:pPr>
      <w:r>
        <w:rPr>
          <w:rFonts w:ascii="Calibri" w:hAnsi="Calibri"/>
          <w:b/>
          <w:color w:val="1E429F"/>
          <w:sz w:val="24"/>
        </w:rPr>
        <w:t xml:space="preserve">  2.  Business Model</w:t>
      </w:r>
    </w:p>
    <w:p/>
    <w:p>
      <w:pPr>
        <w:spacing w:after="80"/>
      </w:pPr>
      <w:r>
        <w:rPr>
          <w:rFonts w:ascii="Calibri" w:hAnsi="Calibri"/>
          <w:sz w:val="21"/>
        </w:rPr>
        <w:t>Will's Widgets is an e-commerce company that manufactures and sells widgets directly to consumers through multiple company-owned websites:</w:t>
      </w:r>
    </w:p>
    <w:p>
      <w:pPr>
        <w:pStyle w:val="ListBullet"/>
      </w:pPr>
      <w:r>
        <w:rPr>
          <w:rFonts w:ascii="Calibri" w:hAnsi="Calibri"/>
          <w:sz w:val="21"/>
        </w:rPr>
        <w:t>www.example1.com</w:t>
      </w:r>
    </w:p>
    <w:p>
      <w:pPr>
        <w:pStyle w:val="ListBullet"/>
      </w:pPr>
      <w:r>
        <w:rPr>
          <w:rFonts w:ascii="Calibri" w:hAnsi="Calibri"/>
          <w:sz w:val="21"/>
        </w:rPr>
        <w:t>www.example2.com</w:t>
      </w:r>
    </w:p>
    <w:p>
      <w:pPr>
        <w:pStyle w:val="ListBullet"/>
      </w:pPr>
      <w:r>
        <w:rPr>
          <w:rFonts w:ascii="Calibri" w:hAnsi="Calibri"/>
          <w:sz w:val="21"/>
        </w:rPr>
        <w:t>www.example3.com</w:t>
      </w:r>
    </w:p>
    <w:p>
      <w:pPr>
        <w:spacing w:after="80"/>
      </w:pPr>
      <w:r>
        <w:rPr>
          <w:rFonts w:ascii="Calibri" w:hAnsi="Calibri"/>
          <w:sz w:val="21"/>
        </w:rPr>
        <w:t>All websites are owned and operated solely by Will's Widgets. The company manages its own Google Ads campaigns exclusively for these properties. Will's Widgets does not manage advertising on behalf of any third parties and does not act as an advertising agency.</w:t>
      </w:r>
    </w:p>
    <w:p/>
    <w:p>
      <w:pPr>
        <w:shd w:val="clear" w:color="auto" w:fill="dbeafe"/>
      </w:pPr>
      <w:r>
        <w:rPr>
          <w:rFonts w:ascii="Calibri" w:hAnsi="Calibri"/>
          <w:b/>
          <w:color w:val="1E429F"/>
          <w:sz w:val="24"/>
        </w:rPr>
        <w:t xml:space="preserve">  3.  Tool Access / Use</w:t>
      </w:r>
    </w:p>
    <w:p/>
    <w:p>
      <w:pPr>
        <w:spacing w:after="80"/>
      </w:pPr>
      <w:r>
        <w:rPr>
          <w:rFonts w:ascii="Calibri" w:hAnsi="Calibri"/>
          <w:sz w:val="21"/>
        </w:rPr>
        <w:t>The tool is a private, internal application used exclusively by Will's Widgets employees and ad managers. It is not externally accessible.</w:t>
      </w:r>
    </w:p>
    <w:p>
      <w:pPr>
        <w:spacing w:before="120" w:after="40"/>
      </w:pPr>
      <w:r>
        <w:rPr>
          <w:rFonts w:ascii="Calibri" w:hAnsi="Calibri"/>
          <w:b/>
          <w:color w:val="1A56DB"/>
          <w:sz w:val="22"/>
        </w:rPr>
        <w:t>Who Uses the Tool</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a56db"/>
          </w:tcPr>
          <w:p>
            <w:pPr>
              <w:jc w:val="center"/>
            </w:pPr>
            <w:r>
              <w:rPr>
                <w:b/>
                <w:color w:val="FFFFFF"/>
                <w:sz w:val="20"/>
              </w:rPr>
              <w:t>User / Party</w:t>
            </w:r>
          </w:p>
        </w:tc>
        <w:tc>
          <w:tcPr>
            <w:tcW w:type="dxa" w:w="2976"/>
            <w:shd w:val="clear" w:color="auto" w:fill="1a56db"/>
          </w:tcPr>
          <w:p>
            <w:pPr>
              <w:jc w:val="center"/>
            </w:pPr>
            <w:r>
              <w:rPr>
                <w:b/>
                <w:color w:val="FFFFFF"/>
                <w:sz w:val="20"/>
              </w:rPr>
              <w:t>Access Level</w:t>
            </w:r>
          </w:p>
        </w:tc>
        <w:tc>
          <w:tcPr>
            <w:tcW w:type="dxa" w:w="2976"/>
            <w:shd w:val="clear" w:color="auto" w:fill="1a56db"/>
          </w:tcPr>
          <w:p>
            <w:pPr>
              <w:jc w:val="center"/>
            </w:pPr>
            <w:r>
              <w:rPr>
                <w:b/>
                <w:color w:val="FFFFFF"/>
                <w:sz w:val="20"/>
              </w:rPr>
              <w:t>What They Can Do</w:t>
            </w:r>
          </w:p>
        </w:tc>
      </w:tr>
      <w:tr>
        <w:tc>
          <w:tcPr>
            <w:tcW w:type="dxa" w:w="2976"/>
            <w:shd w:val="clear" w:color="auto" w:fill="EEF2FF"/>
          </w:tcPr>
          <w:p>
            <w:r>
              <w:rPr>
                <w:sz w:val="20"/>
              </w:rPr>
              <w:t>Internal employees &amp; ad managers</w:t>
            </w:r>
          </w:p>
        </w:tc>
        <w:tc>
          <w:tcPr>
            <w:tcW w:type="dxa" w:w="2976"/>
            <w:shd w:val="clear" w:color="auto" w:fill="EEF2FF"/>
          </w:tcPr>
          <w:p>
            <w:r>
              <w:rPr>
                <w:sz w:val="20"/>
              </w:rPr>
              <w:t>Full UI access</w:t>
            </w:r>
          </w:p>
        </w:tc>
        <w:tc>
          <w:tcPr>
            <w:tcW w:type="dxa" w:w="2976"/>
            <w:shd w:val="clear" w:color="auto" w:fill="EEF2FF"/>
          </w:tcPr>
          <w:p>
            <w:r>
              <w:rPr>
                <w:sz w:val="20"/>
              </w:rPr>
              <w:t>View dashboard, run reports, generate &amp; download PDF reports</w:t>
            </w:r>
          </w:p>
        </w:tc>
      </w:tr>
      <w:tr>
        <w:tc>
          <w:tcPr>
            <w:tcW w:type="dxa" w:w="2976"/>
            <w:shd w:val="clear" w:color="auto" w:fill="FFFFFF"/>
          </w:tcPr>
          <w:p>
            <w:r>
              <w:rPr>
                <w:sz w:val="20"/>
              </w:rPr>
              <w:t>Advertising agent (Anne's Advertising Agency)</w:t>
            </w:r>
          </w:p>
        </w:tc>
        <w:tc>
          <w:tcPr>
            <w:tcW w:type="dxa" w:w="2976"/>
            <w:shd w:val="clear" w:color="auto" w:fill="FFFFFF"/>
          </w:tcPr>
          <w:p>
            <w:r>
              <w:rPr>
                <w:sz w:val="20"/>
              </w:rPr>
              <w:t>No direct tool access</w:t>
            </w:r>
          </w:p>
        </w:tc>
        <w:tc>
          <w:tcPr>
            <w:tcW w:type="dxa" w:w="2976"/>
            <w:shd w:val="clear" w:color="auto" w:fill="FFFFFF"/>
          </w:tcPr>
          <w:p>
            <w:r>
              <w:rPr>
                <w:sz w:val="20"/>
              </w:rPr>
              <w:t>Receives PDF reports via email / file transfer only</w:t>
            </w:r>
          </w:p>
        </w:tc>
      </w:tr>
    </w:tbl>
    <w:p/>
    <w:p>
      <w:pPr>
        <w:spacing w:before="120" w:after="40"/>
      </w:pPr>
      <w:r>
        <w:rPr>
          <w:rFonts w:ascii="Calibri" w:hAnsi="Calibri"/>
          <w:b/>
          <w:color w:val="1A56DB"/>
          <w:sz w:val="22"/>
        </w:rPr>
        <w:t>How the Tool Is Used</w:t>
      </w:r>
    </w:p>
    <w:p>
      <w:pPr>
        <w:pStyle w:val="ListBullet"/>
      </w:pPr>
      <w:r>
        <w:rPr>
          <w:rFonts w:ascii="Calibri" w:hAnsi="Calibri"/>
          <w:sz w:val="21"/>
        </w:rPr>
        <w:t>Internal users log in to view ad performance dashboards and generate downloadable PDF reports.</w:t>
      </w:r>
    </w:p>
    <w:p>
      <w:pPr>
        <w:pStyle w:val="ListBullet"/>
      </w:pPr>
      <w:r>
        <w:rPr>
          <w:rFonts w:ascii="Calibri" w:hAnsi="Calibri"/>
          <w:sz w:val="21"/>
        </w:rPr>
        <w:t>An automated background script runs hourly to sync Google Ads campaigns with current inventory — pausing ads for out-of-stock items and re-enabling them when stock is replenished.</w:t>
      </w:r>
    </w:p>
    <w:p>
      <w:pPr>
        <w:pStyle w:val="ListBullet"/>
      </w:pPr>
      <w:r>
        <w:rPr>
          <w:rFonts w:ascii="Calibri" w:hAnsi="Calibri"/>
          <w:sz w:val="21"/>
        </w:rPr>
        <w:t>The tool only accesses and manages ad accounts owned by Will's Widgets. No third-party accounts are managed.</w:t>
      </w:r>
    </w:p>
    <w:p/>
    <w:p>
      <w:pPr>
        <w:shd w:val="clear" w:color="auto" w:fill="dbeafe"/>
      </w:pPr>
      <w:r>
        <w:rPr>
          <w:rFonts w:ascii="Calibri" w:hAnsi="Calibri"/>
          <w:b/>
          <w:color w:val="1E429F"/>
          <w:sz w:val="24"/>
        </w:rPr>
        <w:t xml:space="preserve">  4.  Tool Design</w:t>
      </w:r>
    </w:p>
    <w:p/>
    <w:p>
      <w:pPr>
        <w:spacing w:after="80"/>
      </w:pPr>
      <w:r>
        <w:rPr>
          <w:rFonts w:ascii="Calibri" w:hAnsi="Calibri"/>
          <w:sz w:val="21"/>
        </w:rPr>
        <w:t>The tool consists of three components:</w:t>
      </w:r>
    </w:p>
    <w:p>
      <w:pPr>
        <w:spacing w:before="120" w:after="40"/>
      </w:pPr>
      <w:r>
        <w:rPr>
          <w:rFonts w:ascii="Calibri" w:hAnsi="Calibri"/>
          <w:b/>
          <w:color w:val="1A56DB"/>
          <w:sz w:val="22"/>
        </w:rPr>
        <w:t>4.1  Hourly Inventory Sync Script</w:t>
      </w:r>
    </w:p>
    <w:p>
      <w:pPr>
        <w:spacing w:after="80"/>
      </w:pPr>
      <w:r>
        <w:rPr>
          <w:rFonts w:ascii="Calibri" w:hAnsi="Calibri"/>
          <w:sz w:val="21"/>
        </w:rPr>
        <w:t>An automated script runs on an hourly cron schedule. It queries the internal product inventory database for current stock levels, then calls the Google Ads API to update ad group ads — pausing ads whose products are out of stock and re-enabling ads whose products have returned to stock. All changes are logged for audit purposes. This ensures ad spend is never wasted on unavailable products.</w:t>
      </w:r>
    </w:p>
    <w:p>
      <w:pPr>
        <w:spacing w:before="120" w:after="40"/>
      </w:pPr>
      <w:r>
        <w:rPr>
          <w:rFonts w:ascii="Calibri" w:hAnsi="Calibri"/>
          <w:b/>
          <w:color w:val="1A56DB"/>
          <w:sz w:val="22"/>
        </w:rPr>
        <w:t>4.2  Reporting Database</w:t>
      </w:r>
    </w:p>
    <w:p>
      <w:pPr>
        <w:spacing w:after="80"/>
      </w:pPr>
      <w:r>
        <w:rPr>
          <w:rFonts w:ascii="Calibri" w:hAnsi="Calibri"/>
          <w:sz w:val="21"/>
        </w:rPr>
        <w:t>Performance metrics are pulled from the Google Ads API on a scheduled basis and stored in an internal SQL database. Data is retained historically to support time-period comparisons. Metrics are stored at multiple levels: account, campaign, ad group, and ad.</w:t>
      </w:r>
    </w:p>
    <w:p>
      <w:pPr>
        <w:spacing w:before="120" w:after="40"/>
      </w:pPr>
      <w:r>
        <w:rPr>
          <w:rFonts w:ascii="Calibri" w:hAnsi="Calibri"/>
          <w:b/>
          <w:color w:val="1A56DB"/>
          <w:sz w:val="22"/>
        </w:rPr>
        <w:t>4.3  Reporting UI &amp; PDF Export</w:t>
      </w:r>
    </w:p>
    <w:p>
      <w:pPr>
        <w:spacing w:after="80"/>
      </w:pPr>
      <w:r>
        <w:rPr>
          <w:rFonts w:ascii="Calibri" w:hAnsi="Calibri"/>
          <w:sz w:val="21"/>
        </w:rPr>
        <w:t>A web-based dashboard lets internal users view performance metrics and filter by date range and property. Users can generate PDF reports from any view. PDF reports are formatted for sharing and are sent to the company's advertising agent at Anne's Advertising Agency via email.</w:t>
      </w:r>
    </w:p>
    <w:p>
      <w:pPr>
        <w:spacing w:before="120" w:after="40"/>
      </w:pPr>
      <w:r>
        <w:rPr>
          <w:rFonts w:ascii="Calibri" w:hAnsi="Calibri"/>
          <w:b/>
          <w:color w:val="1A56DB"/>
          <w:sz w:val="22"/>
        </w:rPr>
        <w:t>Data Flow</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a56db"/>
          </w:tcPr>
          <w:p>
            <w:pPr>
              <w:jc w:val="center"/>
            </w:pPr>
            <w:r>
              <w:rPr>
                <w:b/>
                <w:color w:val="FFFFFF"/>
                <w:sz w:val="20"/>
              </w:rPr>
              <w:t>Source</w:t>
            </w:r>
          </w:p>
        </w:tc>
        <w:tc>
          <w:tcPr>
            <w:tcW w:type="dxa" w:w="2976"/>
            <w:shd w:val="clear" w:color="auto" w:fill="1a56db"/>
          </w:tcPr>
          <w:p>
            <w:pPr>
              <w:jc w:val="center"/>
            </w:pPr>
            <w:r>
              <w:rPr>
                <w:b/>
                <w:color w:val="FFFFFF"/>
                <w:sz w:val="20"/>
              </w:rPr>
              <w:t>Direction</w:t>
            </w:r>
          </w:p>
        </w:tc>
        <w:tc>
          <w:tcPr>
            <w:tcW w:type="dxa" w:w="2976"/>
            <w:shd w:val="clear" w:color="auto" w:fill="1a56db"/>
          </w:tcPr>
          <w:p>
            <w:pPr>
              <w:jc w:val="center"/>
            </w:pPr>
            <w:r>
              <w:rPr>
                <w:b/>
                <w:color w:val="FFFFFF"/>
                <w:sz w:val="20"/>
              </w:rPr>
              <w:t>Destination</w:t>
            </w:r>
          </w:p>
        </w:tc>
      </w:tr>
      <w:tr>
        <w:tc>
          <w:tcPr>
            <w:tcW w:type="dxa" w:w="2976"/>
            <w:shd w:val="clear" w:color="auto" w:fill="EEF2FF"/>
          </w:tcPr>
          <w:p>
            <w:r>
              <w:rPr>
                <w:sz w:val="20"/>
              </w:rPr>
              <w:t>Google Ads API</w:t>
            </w:r>
          </w:p>
        </w:tc>
        <w:tc>
          <w:tcPr>
            <w:tcW w:type="dxa" w:w="2976"/>
            <w:shd w:val="clear" w:color="auto" w:fill="EEF2FF"/>
          </w:tcPr>
          <w:p>
            <w:r>
              <w:rPr>
                <w:sz w:val="20"/>
              </w:rPr>
              <w:t>►</w:t>
            </w:r>
          </w:p>
        </w:tc>
        <w:tc>
          <w:tcPr>
            <w:tcW w:type="dxa" w:w="2976"/>
            <w:shd w:val="clear" w:color="auto" w:fill="EEF2FF"/>
          </w:tcPr>
          <w:p>
            <w:r>
              <w:rPr>
                <w:sz w:val="20"/>
              </w:rPr>
              <w:t>Internal SQL Database → Web UI Dashboard</w:t>
            </w:r>
          </w:p>
        </w:tc>
      </w:tr>
      <w:tr>
        <w:tc>
          <w:tcPr>
            <w:tcW w:type="dxa" w:w="2976"/>
            <w:shd w:val="clear" w:color="auto" w:fill="FFFFFF"/>
          </w:tcPr>
          <w:p>
            <w:r>
              <w:rPr>
                <w:sz w:val="20"/>
              </w:rPr>
              <w:t>Internal SQL Database</w:t>
            </w:r>
          </w:p>
        </w:tc>
        <w:tc>
          <w:tcPr>
            <w:tcW w:type="dxa" w:w="2976"/>
            <w:shd w:val="clear" w:color="auto" w:fill="FFFFFF"/>
          </w:tcPr>
          <w:p>
            <w:r>
              <w:rPr>
                <w:sz w:val="20"/>
              </w:rPr>
              <w:t>►</w:t>
            </w:r>
          </w:p>
        </w:tc>
        <w:tc>
          <w:tcPr>
            <w:tcW w:type="dxa" w:w="2976"/>
            <w:shd w:val="clear" w:color="auto" w:fill="FFFFFF"/>
          </w:tcPr>
          <w:p>
            <w:r>
              <w:rPr>
                <w:sz w:val="20"/>
              </w:rPr>
              <w:t>PDF Report Generator → Advertising Agent (email)</w:t>
            </w:r>
          </w:p>
        </w:tc>
      </w:tr>
      <w:tr>
        <w:tc>
          <w:tcPr>
            <w:tcW w:type="dxa" w:w="2976"/>
            <w:shd w:val="clear" w:color="auto" w:fill="EEF2FF"/>
          </w:tcPr>
          <w:p>
            <w:r>
              <w:rPr>
                <w:sz w:val="20"/>
              </w:rPr>
              <w:t>Inventory Database + Hourly Sync Script</w:t>
            </w:r>
          </w:p>
        </w:tc>
        <w:tc>
          <w:tcPr>
            <w:tcW w:type="dxa" w:w="2976"/>
            <w:shd w:val="clear" w:color="auto" w:fill="EEF2FF"/>
          </w:tcPr>
          <w:p>
            <w:r>
              <w:rPr>
                <w:sz w:val="20"/>
              </w:rPr>
              <w:t>►</w:t>
            </w:r>
          </w:p>
        </w:tc>
        <w:tc>
          <w:tcPr>
            <w:tcW w:type="dxa" w:w="2976"/>
            <w:shd w:val="clear" w:color="auto" w:fill="EEF2FF"/>
          </w:tcPr>
          <w:p>
            <w:r>
              <w:rPr>
                <w:sz w:val="20"/>
              </w:rPr>
              <w:t>Google Ads API (pause / resume ads)</w:t>
            </w:r>
          </w:p>
        </w:tc>
      </w:tr>
    </w:tbl>
    <w:p/>
    <w:p>
      <w:pPr>
        <w:shd w:val="clear" w:color="auto" w:fill="dbeafe"/>
      </w:pPr>
      <w:r>
        <w:rPr>
          <w:rFonts w:ascii="Calibri" w:hAnsi="Calibri"/>
          <w:b/>
          <w:color w:val="1E429F"/>
          <w:sz w:val="24"/>
        </w:rPr>
        <w:t xml:space="preserve">  5.  API Services Called</w:t>
      </w:r>
    </w:p>
    <w:p/>
    <w:tbl>
      <w:tblPr>
        <w:tblStyle w:val="TableGrid"/>
        <w:tblW w:type="auto" w:w="0"/>
        <w:tblLook w:firstColumn="1" w:firstRow="1" w:lastColumn="0" w:lastRow="0" w:noHBand="0" w:noVBand="1" w:val="04A0"/>
      </w:tblPr>
      <w:tblGrid>
        <w:gridCol w:w="4464"/>
        <w:gridCol w:w="4464"/>
      </w:tblGrid>
      <w:tr>
        <w:tc>
          <w:tcPr>
            <w:tcW w:type="dxa" w:w="4464"/>
            <w:shd w:val="clear" w:color="auto" w:fill="1a56db"/>
          </w:tcPr>
          <w:p>
            <w:pPr>
              <w:jc w:val="center"/>
            </w:pPr>
            <w:r>
              <w:rPr>
                <w:b/>
                <w:color w:val="FFFFFF"/>
                <w:sz w:val="20"/>
              </w:rPr>
              <w:t>API Service</w:t>
            </w:r>
          </w:p>
        </w:tc>
        <w:tc>
          <w:tcPr>
            <w:tcW w:type="dxa" w:w="4464"/>
            <w:shd w:val="clear" w:color="auto" w:fill="1a56db"/>
          </w:tcPr>
          <w:p>
            <w:pPr>
              <w:jc w:val="center"/>
            </w:pPr>
            <w:r>
              <w:rPr>
                <w:b/>
                <w:color w:val="FFFFFF"/>
                <w:sz w:val="20"/>
              </w:rPr>
              <w:t>Purpose</w:t>
            </w:r>
          </w:p>
        </w:tc>
      </w:tr>
      <w:tr>
        <w:tc>
          <w:tcPr>
            <w:tcW w:type="dxa" w:w="4464"/>
            <w:shd w:val="clear" w:color="auto" w:fill="EEF2FF"/>
          </w:tcPr>
          <w:p>
            <w:r>
              <w:rPr>
                <w:sz w:val="20"/>
              </w:rPr>
              <w:t>AdGroupAdService</w:t>
            </w:r>
          </w:p>
        </w:tc>
        <w:tc>
          <w:tcPr>
            <w:tcW w:type="dxa" w:w="4464"/>
            <w:shd w:val="clear" w:color="auto" w:fill="EEF2FF"/>
          </w:tcPr>
          <w:p>
            <w:r>
              <w:rPr>
                <w:sz w:val="20"/>
              </w:rPr>
              <w:t>Manage ads within ad groups. Used by the hourly inventory sync script to pause or enable individual ads based on product stock status.</w:t>
            </w:r>
          </w:p>
        </w:tc>
      </w:tr>
      <w:tr>
        <w:tc>
          <w:tcPr>
            <w:tcW w:type="dxa" w:w="4464"/>
            <w:shd w:val="clear" w:color="auto" w:fill="FFFFFF"/>
          </w:tcPr>
          <w:p>
            <w:r>
              <w:rPr>
                <w:sz w:val="20"/>
              </w:rPr>
              <w:t>Customer resource (via GoogleAdsService)</w:t>
            </w:r>
          </w:p>
        </w:tc>
        <w:tc>
          <w:tcPr>
            <w:tcW w:type="dxa" w:w="4464"/>
            <w:shd w:val="clear" w:color="auto" w:fill="FFFFFF"/>
          </w:tcPr>
          <w:p>
            <w:r>
              <w:rPr>
                <w:sz w:val="20"/>
              </w:rPr>
              <w:t>Pull account-level performance metrics for the reporting database. Used to populate the dashboard and generate PDF reports.</w:t>
            </w:r>
          </w:p>
        </w:tc>
      </w:tr>
    </w:tbl>
    <w:p/>
    <w:p>
      <w:pPr>
        <w:spacing w:before="120" w:after="40"/>
      </w:pPr>
      <w:r>
        <w:rPr>
          <w:rFonts w:ascii="Calibri" w:hAnsi="Calibri"/>
          <w:b/>
          <w:color w:val="1A56DB"/>
          <w:sz w:val="22"/>
        </w:rPr>
        <w:t>AdGroupAdService — Detail</w:t>
      </w:r>
    </w:p>
    <w:p>
      <w:pPr>
        <w:pStyle w:val="ListBullet"/>
      </w:pPr>
      <w:r>
        <w:rPr>
          <w:rFonts w:ascii="Calibri" w:hAnsi="Calibri"/>
          <w:sz w:val="21"/>
        </w:rPr>
        <w:t>Why: The hourly sync script needs to update the status of individual ads (ENABLED ↔ PAUSED) based on whether the corresponding product is in stock.</w:t>
      </w:r>
    </w:p>
    <w:p>
      <w:pPr>
        <w:pStyle w:val="ListBullet"/>
      </w:pPr>
      <w:r>
        <w:rPr>
          <w:rFonts w:ascii="Calibri" w:hAnsi="Calibri"/>
          <w:sz w:val="21"/>
        </w:rPr>
        <w:t>How: The script queries the inventory database, determines which ads need status changes, and calls AdGroupAdService with a MutateAdGroupAds request for each affected ad.</w:t>
      </w:r>
    </w:p>
    <w:p>
      <w:pPr>
        <w:pStyle w:val="ListBullet"/>
      </w:pPr>
      <w:r>
        <w:rPr>
          <w:rFonts w:ascii="Calibri" w:hAnsi="Calibri"/>
          <w:sz w:val="21"/>
        </w:rPr>
        <w:t>Scope: Only ads belonging to Will's Widgets' own accounts are modified.</w:t>
      </w:r>
    </w:p>
    <w:p>
      <w:pPr>
        <w:spacing w:before="120" w:after="40"/>
      </w:pPr>
      <w:r>
        <w:rPr>
          <w:rFonts w:ascii="Calibri" w:hAnsi="Calibri"/>
          <w:b/>
          <w:color w:val="1A56DB"/>
          <w:sz w:val="22"/>
        </w:rPr>
        <w:t>Customer Resource (Account Performance Reports) — Detail</w:t>
      </w:r>
    </w:p>
    <w:p>
      <w:pPr>
        <w:pStyle w:val="ListBullet"/>
      </w:pPr>
      <w:r>
        <w:rPr>
          <w:rFonts w:ascii="Calibri" w:hAnsi="Calibri"/>
          <w:sz w:val="21"/>
        </w:rPr>
        <w:t>Why: The reporting dashboard and PDF generator need aggregated performance data (impressions, clicks, cost, conversions) at account, campaign, ad group, and ad levels.</w:t>
      </w:r>
    </w:p>
    <w:p>
      <w:pPr>
        <w:pStyle w:val="ListBullet"/>
      </w:pPr>
      <w:r>
        <w:rPr>
          <w:rFonts w:ascii="Calibri" w:hAnsi="Calibri"/>
          <w:sz w:val="21"/>
        </w:rPr>
        <w:t>How: Queries are made using GAQL (Google Ads Query Language) via GoogleAdsService.SearchStream against the customer, campaign, ad_group, and ad_group_ad resources.</w:t>
      </w:r>
    </w:p>
    <w:p>
      <w:pPr>
        <w:pStyle w:val="ListBullet"/>
      </w:pPr>
      <w:r>
        <w:rPr>
          <w:rFonts w:ascii="Calibri" w:hAnsi="Calibri"/>
          <w:sz w:val="21"/>
        </w:rPr>
        <w:t>Frequency: Metrics are fetched on a scheduled basis and stored in the internal SQL database. The UI reads from the database, not directly from the API in real time.</w:t>
      </w:r>
    </w:p>
    <w:p/>
    <w:p>
      <w:pPr>
        <w:shd w:val="clear" w:color="auto" w:fill="dbeafe"/>
      </w:pPr>
      <w:r>
        <w:rPr>
          <w:rFonts w:ascii="Calibri" w:hAnsi="Calibri"/>
          <w:b/>
          <w:color w:val="1E429F"/>
          <w:sz w:val="24"/>
        </w:rPr>
        <w:t xml:space="preserve">  6.  Tool Mockups</w:t>
      </w:r>
    </w:p>
    <w:p/>
    <w:p>
      <w:pPr>
        <w:spacing w:before="120" w:after="40"/>
      </w:pPr>
      <w:r>
        <w:rPr>
          <w:rFonts w:ascii="Calibri" w:hAnsi="Calibri"/>
          <w:b/>
          <w:color w:val="1A56DB"/>
          <w:sz w:val="22"/>
        </w:rPr>
        <w:t>6.1  Reporting Dashboard</w:t>
      </w:r>
    </w:p>
    <w:p>
      <w:pPr>
        <w:spacing w:after="80"/>
      </w:pPr>
      <w:r>
        <w:rPr>
          <w:rFonts w:ascii="Calibri" w:hAnsi="Calibri"/>
          <w:sz w:val="21"/>
        </w:rPr>
        <w:t>The web-based dashboard displays ad performance metrics pulled from the internal database. Users can:</w:t>
      </w:r>
    </w:p>
    <w:p>
      <w:pPr>
        <w:pStyle w:val="ListBullet"/>
      </w:pPr>
      <w:r>
        <w:rPr>
          <w:rFonts w:ascii="Calibri" w:hAnsi="Calibri"/>
          <w:sz w:val="21"/>
        </w:rPr>
        <w:t>Switch between account, campaign, ad group, and ad-level views</w:t>
      </w:r>
    </w:p>
    <w:p>
      <w:pPr>
        <w:pStyle w:val="ListBullet"/>
      </w:pPr>
      <w:r>
        <w:rPr>
          <w:rFonts w:ascii="Calibri" w:hAnsi="Calibri"/>
          <w:sz w:val="21"/>
        </w:rPr>
        <w:t>Select custom date ranges (last 7 days, last 30 days, custom range)</w:t>
      </w:r>
    </w:p>
    <w:p>
      <w:pPr>
        <w:pStyle w:val="ListBullet"/>
      </w:pPr>
      <w:r>
        <w:rPr>
          <w:rFonts w:ascii="Calibri" w:hAnsi="Calibri"/>
          <w:sz w:val="21"/>
        </w:rPr>
        <w:t>Filter by property / website (example1.com, example2.com, example3.com)</w:t>
      </w:r>
    </w:p>
    <w:p>
      <w:pPr>
        <w:pStyle w:val="ListBullet"/>
      </w:pPr>
      <w:r>
        <w:rPr>
          <w:rFonts w:ascii="Calibri" w:hAnsi="Calibri"/>
          <w:sz w:val="21"/>
        </w:rPr>
        <w:t>Click 'Export PDF' to generate a formatted report for download or sharing</w:t>
      </w:r>
    </w:p>
    <w:p>
      <w:pPr>
        <w:spacing w:before="120" w:after="40"/>
      </w:pPr>
      <w:r>
        <w:rPr>
          <w:rFonts w:ascii="Calibri" w:hAnsi="Calibri"/>
          <w:b/>
          <w:color w:val="1A56DB"/>
          <w:sz w:val="22"/>
        </w:rPr>
        <w:t>Key Metrics Displayed</w:t>
      </w:r>
    </w:p>
    <w:tbl>
      <w:tblPr>
        <w:tblStyle w:val="TableGrid"/>
        <w:tblW w:type="auto" w:w="0"/>
        <w:tblLook w:firstColumn="1" w:firstRow="1" w:lastColumn="0" w:lastRow="0" w:noHBand="0" w:noVBand="1" w:val="04A0"/>
      </w:tblPr>
      <w:tblGrid>
        <w:gridCol w:w="4464"/>
        <w:gridCol w:w="4464"/>
      </w:tblGrid>
      <w:tr>
        <w:tc>
          <w:tcPr>
            <w:tcW w:type="dxa" w:w="4464"/>
            <w:shd w:val="clear" w:color="auto" w:fill="1a56db"/>
          </w:tcPr>
          <w:p>
            <w:pPr>
              <w:jc w:val="center"/>
            </w:pPr>
            <w:r>
              <w:rPr>
                <w:b/>
                <w:color w:val="FFFFFF"/>
                <w:sz w:val="20"/>
              </w:rPr>
              <w:t>Metric</w:t>
            </w:r>
          </w:p>
        </w:tc>
        <w:tc>
          <w:tcPr>
            <w:tcW w:type="dxa" w:w="4464"/>
            <w:shd w:val="clear" w:color="auto" w:fill="1a56db"/>
          </w:tcPr>
          <w:p>
            <w:pPr>
              <w:jc w:val="center"/>
            </w:pPr>
            <w:r>
              <w:rPr>
                <w:b/>
                <w:color w:val="FFFFFF"/>
                <w:sz w:val="20"/>
              </w:rPr>
              <w:t>Description</w:t>
            </w:r>
          </w:p>
        </w:tc>
      </w:tr>
      <w:tr>
        <w:tc>
          <w:tcPr>
            <w:tcW w:type="dxa" w:w="4464"/>
            <w:shd w:val="clear" w:color="auto" w:fill="EEF2FF"/>
          </w:tcPr>
          <w:p>
            <w:r>
              <w:rPr>
                <w:sz w:val="20"/>
              </w:rPr>
              <w:t>Impressions</w:t>
            </w:r>
          </w:p>
        </w:tc>
        <w:tc>
          <w:tcPr>
            <w:tcW w:type="dxa" w:w="4464"/>
            <w:shd w:val="clear" w:color="auto" w:fill="EEF2FF"/>
          </w:tcPr>
          <w:p>
            <w:r>
              <w:rPr>
                <w:sz w:val="20"/>
              </w:rPr>
              <w:t>Total number of times ads were shown</w:t>
            </w:r>
          </w:p>
        </w:tc>
      </w:tr>
      <w:tr>
        <w:tc>
          <w:tcPr>
            <w:tcW w:type="dxa" w:w="4464"/>
            <w:shd w:val="clear" w:color="auto" w:fill="FFFFFF"/>
          </w:tcPr>
          <w:p>
            <w:r>
              <w:rPr>
                <w:sz w:val="20"/>
              </w:rPr>
              <w:t>Clicks</w:t>
            </w:r>
          </w:p>
        </w:tc>
        <w:tc>
          <w:tcPr>
            <w:tcW w:type="dxa" w:w="4464"/>
            <w:shd w:val="clear" w:color="auto" w:fill="FFFFFF"/>
          </w:tcPr>
          <w:p>
            <w:r>
              <w:rPr>
                <w:sz w:val="20"/>
              </w:rPr>
              <w:t>Total number of clicks on ads</w:t>
            </w:r>
          </w:p>
        </w:tc>
      </w:tr>
      <w:tr>
        <w:tc>
          <w:tcPr>
            <w:tcW w:type="dxa" w:w="4464"/>
            <w:shd w:val="clear" w:color="auto" w:fill="EEF2FF"/>
          </w:tcPr>
          <w:p>
            <w:r>
              <w:rPr>
                <w:sz w:val="20"/>
              </w:rPr>
              <w:t>CTR</w:t>
            </w:r>
          </w:p>
        </w:tc>
        <w:tc>
          <w:tcPr>
            <w:tcW w:type="dxa" w:w="4464"/>
            <w:shd w:val="clear" w:color="auto" w:fill="EEF2FF"/>
          </w:tcPr>
          <w:p>
            <w:r>
              <w:rPr>
                <w:sz w:val="20"/>
              </w:rPr>
              <w:t>Click-through rate (Clicks ÷ Impressions)</w:t>
            </w:r>
          </w:p>
        </w:tc>
      </w:tr>
      <w:tr>
        <w:tc>
          <w:tcPr>
            <w:tcW w:type="dxa" w:w="4464"/>
            <w:shd w:val="clear" w:color="auto" w:fill="FFFFFF"/>
          </w:tcPr>
          <w:p>
            <w:r>
              <w:rPr>
                <w:sz w:val="20"/>
              </w:rPr>
              <w:t>Avg. CPC</w:t>
            </w:r>
          </w:p>
        </w:tc>
        <w:tc>
          <w:tcPr>
            <w:tcW w:type="dxa" w:w="4464"/>
            <w:shd w:val="clear" w:color="auto" w:fill="FFFFFF"/>
          </w:tcPr>
          <w:p>
            <w:r>
              <w:rPr>
                <w:sz w:val="20"/>
              </w:rPr>
              <w:t>Average cost per click</w:t>
            </w:r>
          </w:p>
        </w:tc>
      </w:tr>
      <w:tr>
        <w:tc>
          <w:tcPr>
            <w:tcW w:type="dxa" w:w="4464"/>
            <w:shd w:val="clear" w:color="auto" w:fill="EEF2FF"/>
          </w:tcPr>
          <w:p>
            <w:r>
              <w:rPr>
                <w:sz w:val="20"/>
              </w:rPr>
              <w:t>Cost</w:t>
            </w:r>
          </w:p>
        </w:tc>
        <w:tc>
          <w:tcPr>
            <w:tcW w:type="dxa" w:w="4464"/>
            <w:shd w:val="clear" w:color="auto" w:fill="EEF2FF"/>
          </w:tcPr>
          <w:p>
            <w:r>
              <w:rPr>
                <w:sz w:val="20"/>
              </w:rPr>
              <w:t>Total ad spend for the period</w:t>
            </w:r>
          </w:p>
        </w:tc>
      </w:tr>
      <w:tr>
        <w:tc>
          <w:tcPr>
            <w:tcW w:type="dxa" w:w="4464"/>
            <w:shd w:val="clear" w:color="auto" w:fill="FFFFFF"/>
          </w:tcPr>
          <w:p>
            <w:r>
              <w:rPr>
                <w:sz w:val="20"/>
              </w:rPr>
              <w:t>Conversions</w:t>
            </w:r>
          </w:p>
        </w:tc>
        <w:tc>
          <w:tcPr>
            <w:tcW w:type="dxa" w:w="4464"/>
            <w:shd w:val="clear" w:color="auto" w:fill="FFFFFF"/>
          </w:tcPr>
          <w:p>
            <w:r>
              <w:rPr>
                <w:sz w:val="20"/>
              </w:rPr>
              <w:t>Total conversion actions recorded</w:t>
            </w:r>
          </w:p>
        </w:tc>
      </w:tr>
      <w:tr>
        <w:tc>
          <w:tcPr>
            <w:tcW w:type="dxa" w:w="4464"/>
            <w:shd w:val="clear" w:color="auto" w:fill="EEF2FF"/>
          </w:tcPr>
          <w:p>
            <w:r>
              <w:rPr>
                <w:sz w:val="20"/>
              </w:rPr>
              <w:t>Conversion Rate</w:t>
            </w:r>
          </w:p>
        </w:tc>
        <w:tc>
          <w:tcPr>
            <w:tcW w:type="dxa" w:w="4464"/>
            <w:shd w:val="clear" w:color="auto" w:fill="EEF2FF"/>
          </w:tcPr>
          <w:p>
            <w:r>
              <w:rPr>
                <w:sz w:val="20"/>
              </w:rPr>
              <w:t>Conversions ÷ Clicks</w:t>
            </w:r>
          </w:p>
        </w:tc>
      </w:tr>
      <w:tr>
        <w:tc>
          <w:tcPr>
            <w:tcW w:type="dxa" w:w="4464"/>
            <w:shd w:val="clear" w:color="auto" w:fill="FFFFFF"/>
          </w:tcPr>
          <w:p>
            <w:r>
              <w:rPr>
                <w:sz w:val="20"/>
              </w:rPr>
              <w:t>ROAS</w:t>
            </w:r>
          </w:p>
        </w:tc>
        <w:tc>
          <w:tcPr>
            <w:tcW w:type="dxa" w:w="4464"/>
            <w:shd w:val="clear" w:color="auto" w:fill="FFFFFF"/>
          </w:tcPr>
          <w:p>
            <w:r>
              <w:rPr>
                <w:sz w:val="20"/>
              </w:rPr>
              <w:t>Return on ad spend (Revenue ÷ Cost)</w:t>
            </w:r>
          </w:p>
        </w:tc>
      </w:tr>
    </w:tbl>
    <w:p/>
    <w:p>
      <w:pPr>
        <w:spacing w:before="120" w:after="40"/>
      </w:pPr>
      <w:r>
        <w:rPr>
          <w:rFonts w:ascii="Calibri" w:hAnsi="Calibri"/>
          <w:b/>
          <w:color w:val="1A56DB"/>
          <w:sz w:val="22"/>
        </w:rPr>
        <w:t>6.2  PDF Report</w:t>
      </w:r>
    </w:p>
    <w:p>
      <w:pPr>
        <w:spacing w:after="80"/>
      </w:pPr>
      <w:r>
        <w:rPr>
          <w:rFonts w:ascii="Calibri" w:hAnsi="Calibri"/>
          <w:sz w:val="21"/>
        </w:rPr>
        <w:t>A formatted, print-ready document generated from any dashboard view. Includes:</w:t>
      </w:r>
    </w:p>
    <w:p>
      <w:pPr>
        <w:pStyle w:val="ListBullet"/>
      </w:pPr>
      <w:r>
        <w:rPr>
          <w:rFonts w:ascii="Calibri" w:hAnsi="Calibri"/>
          <w:sz w:val="21"/>
        </w:rPr>
        <w:t>Date range and account / campaign scope in the header</w:t>
      </w:r>
    </w:p>
    <w:p>
      <w:pPr>
        <w:pStyle w:val="ListBullet"/>
      </w:pPr>
      <w:r>
        <w:rPr>
          <w:rFonts w:ascii="Calibri" w:hAnsi="Calibri"/>
          <w:sz w:val="21"/>
        </w:rPr>
        <w:t>Summary metrics table</w:t>
      </w:r>
    </w:p>
    <w:p>
      <w:pPr>
        <w:pStyle w:val="ListBullet"/>
      </w:pPr>
      <w:r>
        <w:rPr>
          <w:rFonts w:ascii="Calibri" w:hAnsi="Calibri"/>
          <w:sz w:val="21"/>
        </w:rPr>
        <w:t>Performance charts (impressions &amp; clicks over time, cost breakdown)</w:t>
      </w:r>
    </w:p>
    <w:p>
      <w:pPr>
        <w:pStyle w:val="ListBullet"/>
      </w:pPr>
      <w:r>
        <w:rPr>
          <w:rFonts w:ascii="Calibri" w:hAnsi="Calibri"/>
          <w:sz w:val="21"/>
        </w:rPr>
        <w:t>Company branding (Will's Widgets logo and contact information)</w:t>
      </w:r>
    </w:p>
    <w:p>
      <w:pPr>
        <w:spacing w:after="80"/>
      </w:pPr>
      <w:r>
        <w:rPr>
          <w:rFonts w:ascii="Calibri" w:hAnsi="Calibri"/>
          <w:sz w:val="21"/>
        </w:rPr>
        <w:t>Reports are emailed to the advertising agent at Anne's Advertising Agency as needed.</w:t>
      </w:r>
    </w:p>
    <w:p/>
    <w:p>
      <w:pPr>
        <w:shd w:val="clear" w:color="auto" w:fill="dbeafe"/>
      </w:pPr>
      <w:r>
        <w:rPr>
          <w:rFonts w:ascii="Calibri" w:hAnsi="Calibri"/>
          <w:b/>
          <w:color w:val="1E429F"/>
          <w:sz w:val="24"/>
        </w:rPr>
        <w:t xml:space="preserve">  7.  Data Handling &amp; Privacy</w:t>
      </w:r>
    </w:p>
    <w:p/>
    <w:p>
      <w:pPr>
        <w:pStyle w:val="ListBullet"/>
      </w:pPr>
      <w:r>
        <w:rPr>
          <w:rFonts w:ascii="Calibri" w:hAnsi="Calibri"/>
          <w:sz w:val="21"/>
        </w:rPr>
        <w:t>All API data is stored in Will's Widgets' internal SQL database, accessible only to internal employees.</w:t>
      </w:r>
    </w:p>
    <w:p>
      <w:pPr>
        <w:pStyle w:val="ListBullet"/>
      </w:pPr>
      <w:r>
        <w:rPr>
          <w:rFonts w:ascii="Calibri" w:hAnsi="Calibri"/>
          <w:sz w:val="21"/>
        </w:rPr>
        <w:t>No Google Ads data is shared with third parties except in the form of aggregated PDF reports sent to the company's own advertising agent.</w:t>
      </w:r>
    </w:p>
    <w:p>
      <w:pPr>
        <w:pStyle w:val="ListBullet"/>
      </w:pPr>
      <w:r>
        <w:rPr>
          <w:rFonts w:ascii="Calibri" w:hAnsi="Calibri"/>
          <w:sz w:val="21"/>
        </w:rPr>
        <w:t>OAuth 2.0 credentials are stored securely and are never exposed in the UI or PDF exports.</w:t>
      </w:r>
    </w:p>
    <w:p>
      <w:pPr>
        <w:pStyle w:val="ListBullet"/>
      </w:pPr>
      <w:r>
        <w:rPr>
          <w:rFonts w:ascii="Calibri" w:hAnsi="Calibri"/>
          <w:sz w:val="21"/>
        </w:rPr>
        <w:t>The tool does not collect or process end-user (consumer) personal data from Google Ads.</w:t>
      </w:r>
    </w:p>
    <w:p/>
    <w:p>
      <w:pPr>
        <w:jc w:val="center"/>
        <w:shd w:val="clear" w:color="auto" w:fill="f1f5f9"/>
      </w:pPr>
      <w:r>
        <w:rPr>
          <w:rFonts w:ascii="Calibri" w:hAnsi="Calibri"/>
          <w:i/>
          <w:color w:val="64748B"/>
          <w:sz w:val="18"/>
        </w:rPr>
        <w:t>Document prepared for Google Ads API developer token application  •  Will's Widgets  •  August 2026</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