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Act 3 Best Practices — ADRs, Evidence, and Reversibility</w:t>
      </w:r>
    </w:p>
    <w:p>
      <w:r>
        <w:rPr>
          <w:color w:val="666666"/>
          <w:sz w:val="24"/>
        </w:rPr>
        <w:t>How to turn architecture decisions into living, executable guidance for engineering teams and AI coding agents.</w:t>
      </w:r>
    </w:p>
    <w:p>
      <w:r>
        <w:rPr>
          <w:b/>
          <w:color w:val="1F4E79"/>
          <w:sz w:val="18"/>
        </w:rPr>
        <w:t>ACT 3  |  DECIDE  |  Architecture Decision Intelligence</w:t>
      </w:r>
    </w:p>
    <w:p/>
    <w:p>
      <w:pPr>
        <w:pStyle w:val="Heading1"/>
      </w:pPr>
      <w:r>
        <w:t>1. ADRs are control artifacts, not meeting notes</w:t>
      </w:r>
    </w:p>
    <w:p>
      <w:r>
        <w:t>An ADR should explain what was decided, why it was the best fit under the current constraints, what downside was accepted, and how the team will know when the decision should change.</w:t>
      </w:r>
    </w:p>
    <w:p>
      <w:pPr>
        <w:pStyle w:val="Heading1"/>
      </w:pPr>
      <w:r>
        <w:t>2. Minimum high-quality ADR structure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Pr>
                <w:b/>
                <w:color w:val="FFFFFF"/>
              </w:rPr>
              <w:t>Section</w:t>
            </w:r>
          </w:p>
        </w:tc>
        <w:tc>
          <w:tcPr>
            <w:tcW w:type="dxa" w:w="5184"/>
            <w:shd w:fill="1F4E79"/>
          </w:tcPr>
          <w:p>
            <w:r>
              <w:rPr>
                <w:b/>
                <w:color w:val="FFFFFF"/>
              </w:rPr>
              <w:t>Purpose</w:t>
            </w:r>
          </w:p>
        </w:tc>
      </w:tr>
      <w:tr>
        <w:tc>
          <w:tcPr>
            <w:tcW w:type="dxa" w:w="5184"/>
            <w:vAlign w:val="center"/>
          </w:tcPr>
          <w:p>
            <w:r>
              <w:rPr>
                <w:sz w:val="16"/>
              </w:rPr>
              <w:t>Context</w:t>
            </w:r>
          </w:p>
        </w:tc>
        <w:tc>
          <w:tcPr>
            <w:tcW w:type="dxa" w:w="5184"/>
            <w:vAlign w:val="center"/>
          </w:tcPr>
          <w:p>
            <w:r>
              <w:rPr>
                <w:sz w:val="16"/>
              </w:rPr>
              <w:t>Forces and problem that created the decision</w:t>
            </w:r>
          </w:p>
        </w:tc>
      </w:tr>
      <w:tr>
        <w:tc>
          <w:tcPr>
            <w:tcW w:type="dxa" w:w="5184"/>
            <w:vAlign w:val="center"/>
          </w:tcPr>
          <w:p>
            <w:r>
              <w:rPr>
                <w:sz w:val="16"/>
              </w:rPr>
              <w:t>Architecture drivers</w:t>
            </w:r>
          </w:p>
        </w:tc>
        <w:tc>
          <w:tcPr>
            <w:tcW w:type="dxa" w:w="5184"/>
            <w:vAlign w:val="center"/>
          </w:tcPr>
          <w:p>
            <w:r>
              <w:rPr>
                <w:sz w:val="16"/>
              </w:rPr>
              <w:t>Business, functional, NFR, constraints, assumptions</w:t>
            </w:r>
          </w:p>
        </w:tc>
      </w:tr>
      <w:tr>
        <w:tc>
          <w:tcPr>
            <w:tcW w:type="dxa" w:w="5184"/>
            <w:vAlign w:val="center"/>
          </w:tcPr>
          <w:p>
            <w:r>
              <w:rPr>
                <w:sz w:val="16"/>
              </w:rPr>
              <w:t>Options considered</w:t>
            </w:r>
          </w:p>
        </w:tc>
        <w:tc>
          <w:tcPr>
            <w:tcW w:type="dxa" w:w="5184"/>
            <w:vAlign w:val="center"/>
          </w:tcPr>
          <w:p>
            <w:r>
              <w:rPr>
                <w:sz w:val="16"/>
              </w:rPr>
              <w:t>Real alternatives, including a simpler option</w:t>
            </w:r>
          </w:p>
        </w:tc>
      </w:tr>
      <w:tr>
        <w:tc>
          <w:tcPr>
            <w:tcW w:type="dxa" w:w="5184"/>
            <w:vAlign w:val="center"/>
          </w:tcPr>
          <w:p>
            <w:r>
              <w:rPr>
                <w:sz w:val="16"/>
              </w:rPr>
              <w:t>Decision</w:t>
            </w:r>
          </w:p>
        </w:tc>
        <w:tc>
          <w:tcPr>
            <w:tcW w:type="dxa" w:w="5184"/>
            <w:vAlign w:val="center"/>
          </w:tcPr>
          <w:p>
            <w:r>
              <w:rPr>
                <w:sz w:val="16"/>
              </w:rPr>
              <w:t>What is chosen now</w:t>
            </w:r>
          </w:p>
        </w:tc>
      </w:tr>
      <w:tr>
        <w:tc>
          <w:tcPr>
            <w:tcW w:type="dxa" w:w="5184"/>
            <w:vAlign w:val="center"/>
          </w:tcPr>
          <w:p>
            <w:r>
              <w:rPr>
                <w:sz w:val="16"/>
              </w:rPr>
              <w:t>Rationale</w:t>
            </w:r>
          </w:p>
        </w:tc>
        <w:tc>
          <w:tcPr>
            <w:tcW w:type="dxa" w:w="5184"/>
            <w:vAlign w:val="center"/>
          </w:tcPr>
          <w:p>
            <w:r>
              <w:rPr>
                <w:sz w:val="16"/>
              </w:rPr>
              <w:t>Why it fits current constraints</w:t>
            </w:r>
          </w:p>
        </w:tc>
      </w:tr>
      <w:tr>
        <w:tc>
          <w:tcPr>
            <w:tcW w:type="dxa" w:w="5184"/>
            <w:vAlign w:val="center"/>
          </w:tcPr>
          <w:p>
            <w:r>
              <w:rPr>
                <w:sz w:val="16"/>
              </w:rPr>
              <w:t>Consequences</w:t>
            </w:r>
          </w:p>
        </w:tc>
        <w:tc>
          <w:tcPr>
            <w:tcW w:type="dxa" w:w="5184"/>
            <w:vAlign w:val="center"/>
          </w:tcPr>
          <w:p>
            <w:r>
              <w:rPr>
                <w:sz w:val="16"/>
              </w:rPr>
              <w:t>Positive, negative, and accepted trade-offs</w:t>
            </w:r>
          </w:p>
        </w:tc>
      </w:tr>
      <w:tr>
        <w:tc>
          <w:tcPr>
            <w:tcW w:type="dxa" w:w="5184"/>
            <w:vAlign w:val="center"/>
          </w:tcPr>
          <w:p>
            <w:r>
              <w:rPr>
                <w:sz w:val="16"/>
              </w:rPr>
              <w:t>Risks / mitigations</w:t>
            </w:r>
          </w:p>
        </w:tc>
        <w:tc>
          <w:tcPr>
            <w:tcW w:type="dxa" w:w="5184"/>
            <w:vAlign w:val="center"/>
          </w:tcPr>
          <w:p>
            <w:r>
              <w:rPr>
                <w:sz w:val="16"/>
              </w:rPr>
              <w:t>Known failure and control plan</w:t>
            </w:r>
          </w:p>
        </w:tc>
      </w:tr>
      <w:tr>
        <w:tc>
          <w:tcPr>
            <w:tcW w:type="dxa" w:w="5184"/>
            <w:vAlign w:val="center"/>
          </w:tcPr>
          <w:p>
            <w:r>
              <w:rPr>
                <w:sz w:val="16"/>
              </w:rPr>
              <w:t>Rollback / migration</w:t>
            </w:r>
          </w:p>
        </w:tc>
        <w:tc>
          <w:tcPr>
            <w:tcW w:type="dxa" w:w="5184"/>
            <w:vAlign w:val="center"/>
          </w:tcPr>
          <w:p>
            <w:r>
              <w:rPr>
                <w:sz w:val="16"/>
              </w:rPr>
              <w:t>How to exit or change safely</w:t>
            </w:r>
          </w:p>
        </w:tc>
      </w:tr>
      <w:tr>
        <w:tc>
          <w:tcPr>
            <w:tcW w:type="dxa" w:w="5184"/>
            <w:vAlign w:val="center"/>
          </w:tcPr>
          <w:p>
            <w:r>
              <w:rPr>
                <w:sz w:val="16"/>
              </w:rPr>
              <w:t>Metrics / validation</w:t>
            </w:r>
          </w:p>
        </w:tc>
        <w:tc>
          <w:tcPr>
            <w:tcW w:type="dxa" w:w="5184"/>
            <w:vAlign w:val="center"/>
          </w:tcPr>
          <w:p>
            <w:r>
              <w:rPr>
                <w:sz w:val="16"/>
              </w:rPr>
              <w:t>Evidence that confirms or falsifies the decision</w:t>
            </w:r>
          </w:p>
        </w:tc>
      </w:tr>
      <w:tr>
        <w:tc>
          <w:tcPr>
            <w:tcW w:type="dxa" w:w="5184"/>
            <w:vAlign w:val="center"/>
          </w:tcPr>
          <w:p>
            <w:r>
              <w:rPr>
                <w:sz w:val="16"/>
              </w:rPr>
              <w:t>Revisit trigger</w:t>
            </w:r>
          </w:p>
        </w:tc>
        <w:tc>
          <w:tcPr>
            <w:tcW w:type="dxa" w:w="5184"/>
            <w:vAlign w:val="center"/>
          </w:tcPr>
          <w:p>
            <w:r>
              <w:rPr>
                <w:sz w:val="16"/>
              </w:rPr>
              <w:t>Condition that reopens the decision</w:t>
            </w:r>
          </w:p>
        </w:tc>
      </w:tr>
      <w:tr>
        <w:tc>
          <w:tcPr>
            <w:tcW w:type="dxa" w:w="5184"/>
            <w:vAlign w:val="center"/>
          </w:tcPr>
          <w:p>
            <w:r>
              <w:rPr>
                <w:sz w:val="16"/>
              </w:rPr>
              <w:t>Implementation guidance</w:t>
            </w:r>
          </w:p>
        </w:tc>
        <w:tc>
          <w:tcPr>
            <w:tcW w:type="dxa" w:w="5184"/>
            <w:vAlign w:val="center"/>
          </w:tcPr>
          <w:p>
            <w:r>
              <w:rPr>
                <w:sz w:val="16"/>
              </w:rPr>
              <w:t>Rules for code, tests, CLAUDE.md, CI, or review</w:t>
            </w:r>
          </w:p>
        </w:tc>
      </w:tr>
    </w:tbl>
    <w:p>
      <w:pPr>
        <w:pStyle w:val="Heading1"/>
      </w:pPr>
      <w:r>
        <w:t>3. Write consequences before celebrating the decision</w:t>
      </w:r>
    </w:p>
    <w:p>
      <w:pPr>
        <w:pStyle w:val="ListBullet"/>
      </w:pPr>
      <w:r>
        <w:t>Every meaningful architecture choice creates new operational obligations.</w:t>
      </w:r>
    </w:p>
    <w:p>
      <w:pPr>
        <w:pStyle w:val="ListBullet"/>
      </w:pPr>
      <w:r>
        <w:t>A hybrid search decision implies multiple indexes, merge logic, freshness monitoring, fallback, and cost management.</w:t>
      </w:r>
    </w:p>
    <w:p>
      <w:pPr>
        <w:pStyle w:val="ListBullet"/>
      </w:pPr>
      <w:r>
        <w:t>A relational system of record implies schema evolution discipline, backup/recovery, transaction contention management, and scaling strategy.</w:t>
      </w:r>
    </w:p>
    <w:p>
      <w:pPr>
        <w:pStyle w:val="Heading1"/>
      </w:pPr>
      <w:r>
        <w:t>4. Make reversibility explicit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Decision type</w:t>
            </w:r>
          </w:p>
        </w:tc>
        <w:tc>
          <w:tcPr>
            <w:tcW w:type="dxa" w:w="3456"/>
            <w:shd w:fill="1F4E79"/>
          </w:tcPr>
          <w:p>
            <w:r>
              <w:rPr>
                <w:b/>
                <w:color w:val="FFFFFF"/>
              </w:rPr>
              <w:t>Typical approach</w:t>
            </w:r>
          </w:p>
        </w:tc>
        <w:tc>
          <w:tcPr>
            <w:tcW w:type="dxa" w:w="3456"/>
            <w:shd w:fill="1F4E79"/>
          </w:tcPr>
          <w:p>
            <w:r>
              <w:rPr>
                <w:b/>
                <w:color w:val="FFFFFF"/>
              </w:rPr>
              <w:t>Required discipline</w:t>
            </w:r>
          </w:p>
        </w:tc>
      </w:tr>
      <w:tr>
        <w:tc>
          <w:tcPr>
            <w:tcW w:type="dxa" w:w="3456"/>
            <w:vAlign w:val="center"/>
          </w:tcPr>
          <w:p>
            <w:r>
              <w:rPr>
                <w:sz w:val="16"/>
              </w:rPr>
              <w:t>Easy to reverse</w:t>
            </w:r>
          </w:p>
        </w:tc>
        <w:tc>
          <w:tcPr>
            <w:tcW w:type="dxa" w:w="3456"/>
            <w:vAlign w:val="center"/>
          </w:tcPr>
          <w:p>
            <w:r>
              <w:rPr>
                <w:sz w:val="16"/>
              </w:rPr>
              <w:t>Feature flag, ranking weight, cache TTL</w:t>
            </w:r>
          </w:p>
        </w:tc>
        <w:tc>
          <w:tcPr>
            <w:tcW w:type="dxa" w:w="3456"/>
            <w:vAlign w:val="center"/>
          </w:tcPr>
          <w:p>
            <w:r>
              <w:rPr>
                <w:sz w:val="16"/>
              </w:rPr>
              <w:t>Fast experiment + telemetry</w:t>
            </w:r>
          </w:p>
        </w:tc>
      </w:tr>
      <w:tr>
        <w:tc>
          <w:tcPr>
            <w:tcW w:type="dxa" w:w="3456"/>
            <w:vAlign w:val="center"/>
          </w:tcPr>
          <w:p>
            <w:r>
              <w:rPr>
                <w:sz w:val="16"/>
              </w:rPr>
              <w:t>Moderate</w:t>
            </w:r>
          </w:p>
        </w:tc>
        <w:tc>
          <w:tcPr>
            <w:tcW w:type="dxa" w:w="3456"/>
            <w:vAlign w:val="center"/>
          </w:tcPr>
          <w:p>
            <w:r>
              <w:rPr>
                <w:sz w:val="16"/>
              </w:rPr>
              <w:t>Internal library, service boundary, index strategy</w:t>
            </w:r>
          </w:p>
        </w:tc>
        <w:tc>
          <w:tcPr>
            <w:tcW w:type="dxa" w:w="3456"/>
            <w:vAlign w:val="center"/>
          </w:tcPr>
          <w:p>
            <w:r>
              <w:rPr>
                <w:sz w:val="16"/>
              </w:rPr>
              <w:t>Migration plan + compatibility + rollback</w:t>
            </w:r>
          </w:p>
        </w:tc>
      </w:tr>
      <w:tr>
        <w:tc>
          <w:tcPr>
            <w:tcW w:type="dxa" w:w="3456"/>
            <w:vAlign w:val="center"/>
          </w:tcPr>
          <w:p>
            <w:r>
              <w:rPr>
                <w:sz w:val="16"/>
              </w:rPr>
              <w:t>Hard</w:t>
            </w:r>
          </w:p>
        </w:tc>
        <w:tc>
          <w:tcPr>
            <w:tcW w:type="dxa" w:w="3456"/>
            <w:vAlign w:val="center"/>
          </w:tcPr>
          <w:p>
            <w:r>
              <w:rPr>
                <w:sz w:val="16"/>
              </w:rPr>
              <w:t>Public API, data model, tenancy, region/data residency</w:t>
            </w:r>
          </w:p>
        </w:tc>
        <w:tc>
          <w:tcPr>
            <w:tcW w:type="dxa" w:w="3456"/>
            <w:vAlign w:val="center"/>
          </w:tcPr>
          <w:p>
            <w:r>
              <w:rPr>
                <w:sz w:val="16"/>
              </w:rPr>
              <w:t>Higher evidence bar + phased migration + named approval</w:t>
            </w:r>
          </w:p>
        </w:tc>
      </w:tr>
    </w:tbl>
    <w:p>
      <w:pPr>
        <w:pStyle w:val="ListBullet"/>
      </w:pPr>
      <w:r>
        <w:t>Ask “What is the cost of being wrong?” before committing.</w:t>
      </w:r>
    </w:p>
    <w:p>
      <w:pPr>
        <w:pStyle w:val="ListBullet"/>
      </w:pPr>
      <w:r>
        <w:t>Prefer options that preserve future choice when they satisfy current requirements at reasonable cost.</w:t>
      </w:r>
    </w:p>
    <w:p>
      <w:pPr>
        <w:pStyle w:val="Heading1"/>
      </w:pPr>
      <w:r>
        <w:t>5. Turn ADRs into executable architecture</w:t>
      </w:r>
    </w:p>
    <w:p>
      <w:r>
        <w:t>The Act 3-to-Act 4 handoff should be concrete:</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Pr>
                <w:b/>
                <w:color w:val="FFFFFF"/>
              </w:rPr>
              <w:t>ADR statement</w:t>
            </w:r>
          </w:p>
        </w:tc>
        <w:tc>
          <w:tcPr>
            <w:tcW w:type="dxa" w:w="5184"/>
            <w:shd w:fill="1F4E79"/>
          </w:tcPr>
          <w:p>
            <w:r>
              <w:rPr>
                <w:b/>
                <w:color w:val="FFFFFF"/>
              </w:rPr>
              <w:t>Executable form</w:t>
            </w:r>
          </w:p>
        </w:tc>
      </w:tr>
      <w:tr>
        <w:tc>
          <w:tcPr>
            <w:tcW w:type="dxa" w:w="5184"/>
            <w:vAlign w:val="center"/>
          </w:tcPr>
          <w:p>
            <w:r>
              <w:rPr>
                <w:sz w:val="16"/>
              </w:rPr>
              <w:t>Controllers must not own domain logic</w:t>
            </w:r>
          </w:p>
        </w:tc>
        <w:tc>
          <w:tcPr>
            <w:tcW w:type="dxa" w:w="5184"/>
            <w:vAlign w:val="center"/>
          </w:tcPr>
          <w:p>
            <w:r>
              <w:rPr>
                <w:sz w:val="16"/>
              </w:rPr>
              <w:t>CLAUDE.md rule + architecture test</w:t>
            </w:r>
          </w:p>
        </w:tc>
      </w:tr>
      <w:tr>
        <w:tc>
          <w:tcPr>
            <w:tcW w:type="dxa" w:w="5184"/>
            <w:vAlign w:val="center"/>
          </w:tcPr>
          <w:p>
            <w:r>
              <w:rPr>
                <w:sz w:val="16"/>
              </w:rPr>
              <w:t>Search must preserve lexical fallback</w:t>
            </w:r>
          </w:p>
        </w:tc>
        <w:tc>
          <w:tcPr>
            <w:tcW w:type="dxa" w:w="5184"/>
            <w:vAlign w:val="center"/>
          </w:tcPr>
          <w:p>
            <w:r>
              <w:rPr>
                <w:sz w:val="16"/>
              </w:rPr>
              <w:t>Fallback test + feature flag + runbook</w:t>
            </w:r>
          </w:p>
        </w:tc>
      </w:tr>
      <w:tr>
        <w:tc>
          <w:tcPr>
            <w:tcW w:type="dxa" w:w="5184"/>
            <w:vAlign w:val="center"/>
          </w:tcPr>
          <w:p>
            <w:r>
              <w:rPr>
                <w:sz w:val="16"/>
              </w:rPr>
              <w:t>Public API must remain compatible</w:t>
            </w:r>
          </w:p>
        </w:tc>
        <w:tc>
          <w:tcPr>
            <w:tcW w:type="dxa" w:w="5184"/>
            <w:vAlign w:val="center"/>
          </w:tcPr>
          <w:p>
            <w:r>
              <w:rPr>
                <w:sz w:val="16"/>
              </w:rPr>
              <w:t>Contract tests + approval gate</w:t>
            </w:r>
          </w:p>
        </w:tc>
      </w:tr>
      <w:tr>
        <w:tc>
          <w:tcPr>
            <w:tcW w:type="dxa" w:w="5184"/>
            <w:vAlign w:val="center"/>
          </w:tcPr>
          <w:p>
            <w:r>
              <w:rPr>
                <w:sz w:val="16"/>
              </w:rPr>
              <w:t>Payment operations are idempotent</w:t>
            </w:r>
          </w:p>
        </w:tc>
        <w:tc>
          <w:tcPr>
            <w:tcW w:type="dxa" w:w="5184"/>
            <w:vAlign w:val="center"/>
          </w:tcPr>
          <w:p>
            <w:r>
              <w:rPr>
                <w:sz w:val="16"/>
              </w:rPr>
              <w:t>Duplicate-request integration test</w:t>
            </w:r>
          </w:p>
        </w:tc>
      </w:tr>
      <w:tr>
        <w:tc>
          <w:tcPr>
            <w:tcW w:type="dxa" w:w="5184"/>
            <w:vAlign w:val="center"/>
          </w:tcPr>
          <w:p>
            <w:r>
              <w:rPr>
                <w:sz w:val="16"/>
              </w:rPr>
              <w:t>Sensitive data must not appear in logs</w:t>
            </w:r>
          </w:p>
        </w:tc>
        <w:tc>
          <w:tcPr>
            <w:tcW w:type="dxa" w:w="5184"/>
            <w:vAlign w:val="center"/>
          </w:tcPr>
          <w:p>
            <w:r>
              <w:rPr>
                <w:sz w:val="16"/>
              </w:rPr>
              <w:t>Static/CI checks + log review policy</w:t>
            </w:r>
          </w:p>
        </w:tc>
      </w:tr>
      <w:tr>
        <w:tc>
          <w:tcPr>
            <w:tcW w:type="dxa" w:w="5184"/>
            <w:vAlign w:val="center"/>
          </w:tcPr>
          <w:p>
            <w:r>
              <w:rPr>
                <w:sz w:val="16"/>
              </w:rPr>
              <w:t>New retrieval type requires decision evidence</w:t>
            </w:r>
          </w:p>
        </w:tc>
        <w:tc>
          <w:tcPr>
            <w:tcW w:type="dxa" w:w="5184"/>
            <w:vAlign w:val="center"/>
          </w:tcPr>
          <w:p>
            <w:r>
              <w:rPr>
                <w:sz w:val="16"/>
              </w:rPr>
              <w:t>CLAUDE.md approval rule + ADR update</w:t>
            </w:r>
          </w:p>
        </w:tc>
      </w:tr>
    </w:tbl>
    <w:p>
      <w:pPr>
        <w:pStyle w:val="Heading1"/>
      </w:pPr>
      <w:r>
        <w:t>6. Evidence before trust</w:t>
      </w:r>
    </w:p>
    <w:p>
      <w:pPr>
        <w:pStyle w:val="ListBullet"/>
      </w:pPr>
      <w:r>
        <w:t>Use benchmarks for latency, throughput, relevance, and cost where they influence the decision.</w:t>
      </w:r>
    </w:p>
    <w:p>
      <w:pPr>
        <w:pStyle w:val="ListBullet"/>
      </w:pPr>
      <w:r>
        <w:t>Use failure tests for rollback, fallback, and recovery assumptions.</w:t>
      </w:r>
    </w:p>
    <w:p>
      <w:pPr>
        <w:pStyle w:val="ListBullet"/>
      </w:pPr>
      <w:r>
        <w:t>Use A/B or controlled experiments where business outcome is uncertain.</w:t>
      </w:r>
    </w:p>
    <w:p>
      <w:pPr>
        <w:pStyle w:val="ListBullet"/>
      </w:pPr>
      <w:r>
        <w:t>Use production telemetry to compare observed behavior with the ADR assumptions.</w:t>
      </w:r>
    </w:p>
    <w:p>
      <w:pPr>
        <w:pStyle w:val="ListBullet"/>
      </w:pPr>
      <w:r>
        <w:t>Record unresolved evidence gaps rather than hiding them behind a confident recommendation.</w:t>
      </w:r>
    </w:p>
    <w:p>
      <w:pPr>
        <w:pStyle w:val="Heading1"/>
      </w:pPr>
      <w:r>
        <w:t>7. Revisit triggers that actually work</w:t>
      </w:r>
    </w:p>
    <w:p>
      <w:pPr>
        <w:pStyle w:val="ListBullet"/>
      </w:pPr>
      <w:r>
        <w:t>A measurable threshold is crossed: P95 exceeds 300 ms at target load.</w:t>
      </w:r>
    </w:p>
    <w:p>
      <w:pPr>
        <w:pStyle w:val="ListBullet"/>
      </w:pPr>
      <w:r>
        <w:t>A business outcome does not materialize: hybrid search produces no meaningful conversion lift.</w:t>
      </w:r>
    </w:p>
    <w:p>
      <w:pPr>
        <w:pStyle w:val="ListBullet"/>
      </w:pPr>
      <w:r>
        <w:t>A constraint changes: new region/residency rules, 10x workload, or new team/platform standard.</w:t>
      </w:r>
    </w:p>
    <w:p>
      <w:pPr>
        <w:pStyle w:val="ListBullet"/>
      </w:pPr>
      <w:r>
        <w:t>Operational burden exceeds tolerance: incident rate, on-call cost, or cost/query is too high.</w:t>
      </w:r>
    </w:p>
    <w:p>
      <w:pPr>
        <w:pStyle w:val="ListBullet"/>
      </w:pPr>
      <w:r>
        <w:t>New evidence materially changes the ranking of alternatives.</w:t>
      </w:r>
    </w:p>
    <w:p>
      <w:pPr>
        <w:pStyle w:val="Heading1"/>
      </w:pPr>
      <w:r>
        <w:t>8. Architecture review board checklist</w:t>
      </w:r>
    </w:p>
    <w:p>
      <w:pPr>
        <w:pStyle w:val="ListBullet"/>
      </w:pPr>
      <w:r>
        <w:t>Can we state the decision in one sentence?</w:t>
      </w:r>
    </w:p>
    <w:p>
      <w:pPr>
        <w:pStyle w:val="ListBullet"/>
      </w:pPr>
      <w:r>
        <w:t>Which requirements drive it?</w:t>
      </w:r>
    </w:p>
    <w:p>
      <w:pPr>
        <w:pStyle w:val="ListBullet"/>
      </w:pPr>
      <w:r>
        <w:t>Which facts are measured and which are assumed?</w:t>
      </w:r>
    </w:p>
    <w:p>
      <w:pPr>
        <w:pStyle w:val="ListBullet"/>
      </w:pPr>
      <w:r>
        <w:t>Is there a simpler option?</w:t>
      </w:r>
    </w:p>
    <w:p>
      <w:pPr>
        <w:pStyle w:val="ListBullet"/>
      </w:pPr>
      <w:r>
        <w:t>What downside are we accepting?</w:t>
      </w:r>
    </w:p>
    <w:p>
      <w:pPr>
        <w:pStyle w:val="ListBullet"/>
      </w:pPr>
      <w:r>
        <w:t>How do we roll back or migrate?</w:t>
      </w:r>
    </w:p>
    <w:p>
      <w:pPr>
        <w:pStyle w:val="ListBullet"/>
      </w:pPr>
      <w:r>
        <w:t>What will we monitor?</w:t>
      </w:r>
    </w:p>
    <w:p>
      <w:pPr>
        <w:pStyle w:val="ListBullet"/>
      </w:pPr>
      <w:r>
        <w:t>What evidence would change our mind?</w:t>
      </w:r>
    </w:p>
    <w:p>
      <w:pPr>
        <w:pStyle w:val="ListBullet"/>
      </w:pPr>
      <w:r>
        <w:t>What rules now belong in CLAUDE.md/tests/CI?</w:t>
      </w:r>
    </w:p>
    <w:p>
      <w:pPr>
        <w:pStyle w:val="ListBullet"/>
      </w:pPr>
      <w:r>
        <w:t>Who owns the decision after deployment?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ChatGPT for Software Architects • Act 3 — DECIDE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B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