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Act 3 — DECIDE: Full Solution Guide</w:t>
      </w:r>
    </w:p>
    <w:p>
      <w:r>
        <w:rPr>
          <w:color w:val="666666"/>
          <w:sz w:val="24"/>
        </w:rPr>
        <w:t>Model answers for the architecture decision labs. Use as instructor reference or participant solution after the lab.</w:t>
      </w:r>
    </w:p>
    <w:p>
      <w:r>
        <w:rPr>
          <w:b/>
          <w:color w:val="1F4E79"/>
          <w:sz w:val="18"/>
        </w:rPr>
        <w:t>ACT 3  |  DECIDE  |  Architecture Decision Intelligence</w:t>
      </w:r>
    </w:p>
    <w:p/>
    <w:p>
      <w:pPr>
        <w:pStyle w:val="Heading1"/>
      </w:pPr>
      <w:r>
        <w:t>1. Reference context carried from Act 2</w:t>
      </w:r>
    </w:p>
    <w:p>
      <w:pPr>
        <w:pStyle w:val="ListBullet"/>
      </w:pPr>
      <w:r>
        <w:t>ShopSmart must search a 50M-product catalog using lexical relevance, semantic matching, and personalization while targeting P95 search latency below 300 ms.</w:t>
      </w:r>
    </w:p>
    <w:p>
      <w:pPr>
        <w:pStyle w:val="ListBullet"/>
      </w:pPr>
      <w:r>
        <w:t>Order management requires a clearly identified authoritative datastore with correctness, recoverability, and operational simplicity appropriate to money-moving workflows.</w:t>
      </w:r>
    </w:p>
    <w:p>
      <w:pPr>
        <w:pStyle w:val="ListBullet"/>
      </w:pPr>
      <w:r>
        <w:t>Act 2 produced Architecture v1, workload assumptions, failure scenarios, and an open decision backlog. Act 3 converts those unresolved choices into explicit, reviewable decisions.</w:t>
      </w:r>
    </w:p>
    <w:tbl>
      <w:tblPr>
        <w:tblStyle w:val="TableGrid"/>
        <w:tblW w:type="auto" w:w="0"/>
        <w:tblLook w:firstColumn="1" w:firstRow="1" w:lastColumn="0" w:lastRow="0" w:noHBand="0" w:noVBand="1" w:val="04A0"/>
      </w:tblPr>
      <w:tblGrid>
        <w:gridCol w:w="10368"/>
      </w:tblGrid>
      <w:tr>
        <w:tc>
          <w:tcPr>
            <w:tcW w:type="dxa" w:w="10368"/>
            <w:shd w:fill="EAF2F8"/>
          </w:tcPr>
          <w:p>
            <w:r>
              <w:rPr>
                <w:b/>
                <w:color w:val="1F4E79"/>
              </w:rPr>
              <w:t xml:space="preserve">Architect takeaway: </w:t>
            </w:r>
            <w:r>
              <w:t>AI can accelerate comparison and critique. Architects own the criteria, weights, risk acceptance, and final decision.</w:t>
            </w:r>
          </w:p>
        </w:tc>
      </w:tr>
    </w:tbl>
    <w:p/>
    <w:p>
      <w:pPr>
        <w:pStyle w:val="Heading1"/>
      </w:pPr>
      <w:r>
        <w:t>2. Lab 3A — Search Architecture Decision Matrix</w:t>
      </w:r>
    </w:p>
    <w:p>
      <w:r>
        <w:t>Decision question: How should ShopSmart search 50M products with lexical relevance, semantic matching, personalization, and P95 &lt; 300 ms?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Criterion</w:t>
            </w:r>
          </w:p>
        </w:tc>
        <w:tc>
          <w:tcPr>
            <w:tcW w:type="dxa" w:w="3456"/>
            <w:shd w:fill="1F4E79"/>
          </w:tcPr>
          <w:p>
            <w:r>
              <w:rPr>
                <w:b/>
                <w:color w:val="FFFFFF"/>
              </w:rPr>
              <w:t>Weight</w:t>
            </w:r>
          </w:p>
        </w:tc>
        <w:tc>
          <w:tcPr>
            <w:tcW w:type="dxa" w:w="3456"/>
            <w:shd w:fill="1F4E79"/>
          </w:tcPr>
          <w:p>
            <w:r>
              <w:rPr>
                <w:b/>
                <w:color w:val="FFFFFF"/>
              </w:rPr>
              <w:t>Why it matters</w:t>
            </w:r>
          </w:p>
        </w:tc>
      </w:tr>
      <w:tr>
        <w:tc>
          <w:tcPr>
            <w:tcW w:type="dxa" w:w="3456"/>
            <w:vAlign w:val="center"/>
          </w:tcPr>
          <w:p>
            <w:r>
              <w:rPr>
                <w:sz w:val="16"/>
              </w:rPr>
              <w:t>Relevance quality</w:t>
            </w:r>
          </w:p>
        </w:tc>
        <w:tc>
          <w:tcPr>
            <w:tcW w:type="dxa" w:w="3456"/>
            <w:vAlign w:val="center"/>
          </w:tcPr>
          <w:p>
            <w:r>
              <w:rPr>
                <w:sz w:val="16"/>
              </w:rPr>
              <w:t>25</w:t>
            </w:r>
          </w:p>
        </w:tc>
        <w:tc>
          <w:tcPr>
            <w:tcW w:type="dxa" w:w="3456"/>
            <w:vAlign w:val="center"/>
          </w:tcPr>
          <w:p>
            <w:r>
              <w:rPr>
                <w:sz w:val="16"/>
              </w:rPr>
              <w:t>Must handle exact product terms and intent/semantic similarity.</w:t>
            </w:r>
          </w:p>
        </w:tc>
      </w:tr>
      <w:tr>
        <w:tc>
          <w:tcPr>
            <w:tcW w:type="dxa" w:w="3456"/>
            <w:vAlign w:val="center"/>
          </w:tcPr>
          <w:p>
            <w:r>
              <w:rPr>
                <w:sz w:val="16"/>
              </w:rPr>
              <w:t>P95 latency</w:t>
            </w:r>
          </w:p>
        </w:tc>
        <w:tc>
          <w:tcPr>
            <w:tcW w:type="dxa" w:w="3456"/>
            <w:vAlign w:val="center"/>
          </w:tcPr>
          <w:p>
            <w:r>
              <w:rPr>
                <w:sz w:val="16"/>
              </w:rPr>
              <w:t>20</w:t>
            </w:r>
          </w:p>
        </w:tc>
        <w:tc>
          <w:tcPr>
            <w:tcW w:type="dxa" w:w="3456"/>
            <w:vAlign w:val="center"/>
          </w:tcPr>
          <w:p>
            <w:r>
              <w:rPr>
                <w:sz w:val="16"/>
              </w:rPr>
              <w:t>Interactive search must remain inside the stated latency target.</w:t>
            </w:r>
          </w:p>
        </w:tc>
      </w:tr>
      <w:tr>
        <w:tc>
          <w:tcPr>
            <w:tcW w:type="dxa" w:w="3456"/>
            <w:vAlign w:val="center"/>
          </w:tcPr>
          <w:p>
            <w:r>
              <w:rPr>
                <w:sz w:val="16"/>
              </w:rPr>
              <w:t>Freshness</w:t>
            </w:r>
          </w:p>
        </w:tc>
        <w:tc>
          <w:tcPr>
            <w:tcW w:type="dxa" w:w="3456"/>
            <w:vAlign w:val="center"/>
          </w:tcPr>
          <w:p>
            <w:r>
              <w:rPr>
                <w:sz w:val="16"/>
              </w:rPr>
              <w:t>15</w:t>
            </w:r>
          </w:p>
        </w:tc>
        <w:tc>
          <w:tcPr>
            <w:tcW w:type="dxa" w:w="3456"/>
            <w:vAlign w:val="center"/>
          </w:tcPr>
          <w:p>
            <w:r>
              <w:rPr>
                <w:sz w:val="16"/>
              </w:rPr>
              <w:t>Catalog, inventory, and price changes must become searchable quickly.</w:t>
            </w:r>
          </w:p>
        </w:tc>
      </w:tr>
      <w:tr>
        <w:tc>
          <w:tcPr>
            <w:tcW w:type="dxa" w:w="3456"/>
            <w:vAlign w:val="center"/>
          </w:tcPr>
          <w:p>
            <w:r>
              <w:rPr>
                <w:sz w:val="16"/>
              </w:rPr>
              <w:t>Scalability</w:t>
            </w:r>
          </w:p>
        </w:tc>
        <w:tc>
          <w:tcPr>
            <w:tcW w:type="dxa" w:w="3456"/>
            <w:vAlign w:val="center"/>
          </w:tcPr>
          <w:p>
            <w:r>
              <w:rPr>
                <w:sz w:val="16"/>
              </w:rPr>
              <w:t>10</w:t>
            </w:r>
          </w:p>
        </w:tc>
        <w:tc>
          <w:tcPr>
            <w:tcW w:type="dxa" w:w="3456"/>
            <w:vAlign w:val="center"/>
          </w:tcPr>
          <w:p>
            <w:r>
              <w:rPr>
                <w:sz w:val="16"/>
              </w:rPr>
              <w:t>Must support a large catalog and peak traffic without redesign.</w:t>
            </w:r>
          </w:p>
        </w:tc>
      </w:tr>
      <w:tr>
        <w:tc>
          <w:tcPr>
            <w:tcW w:type="dxa" w:w="3456"/>
            <w:vAlign w:val="center"/>
          </w:tcPr>
          <w:p>
            <w:r>
              <w:rPr>
                <w:sz w:val="16"/>
              </w:rPr>
              <w:t>Operational complexity</w:t>
            </w:r>
          </w:p>
        </w:tc>
        <w:tc>
          <w:tcPr>
            <w:tcW w:type="dxa" w:w="3456"/>
            <w:vAlign w:val="center"/>
          </w:tcPr>
          <w:p>
            <w:r>
              <w:rPr>
                <w:sz w:val="16"/>
              </w:rPr>
              <w:t>10</w:t>
            </w:r>
          </w:p>
        </w:tc>
        <w:tc>
          <w:tcPr>
            <w:tcW w:type="dxa" w:w="3456"/>
            <w:vAlign w:val="center"/>
          </w:tcPr>
          <w:p>
            <w:r>
              <w:rPr>
                <w:sz w:val="16"/>
              </w:rPr>
              <w:t>The team must be able to operate, tune, and recover the platform.</w:t>
            </w:r>
          </w:p>
        </w:tc>
      </w:tr>
      <w:tr>
        <w:tc>
          <w:tcPr>
            <w:tcW w:type="dxa" w:w="3456"/>
            <w:vAlign w:val="center"/>
          </w:tcPr>
          <w:p>
            <w:r>
              <w:rPr>
                <w:sz w:val="16"/>
              </w:rPr>
              <w:t>Cost efficiency</w:t>
            </w:r>
          </w:p>
        </w:tc>
        <w:tc>
          <w:tcPr>
            <w:tcW w:type="dxa" w:w="3456"/>
            <w:vAlign w:val="center"/>
          </w:tcPr>
          <w:p>
            <w:r>
              <w:rPr>
                <w:sz w:val="16"/>
              </w:rPr>
              <w:t>10</w:t>
            </w:r>
          </w:p>
        </w:tc>
        <w:tc>
          <w:tcPr>
            <w:tcW w:type="dxa" w:w="3456"/>
            <w:vAlign w:val="center"/>
          </w:tcPr>
          <w:p>
            <w:r>
              <w:rPr>
                <w:sz w:val="16"/>
              </w:rPr>
              <w:t>Indexing, serving, and model/reranker costs matter at scale.</w:t>
            </w:r>
          </w:p>
        </w:tc>
      </w:tr>
      <w:tr>
        <w:tc>
          <w:tcPr>
            <w:tcW w:type="dxa" w:w="3456"/>
            <w:vAlign w:val="center"/>
          </w:tcPr>
          <w:p>
            <w:r>
              <w:rPr>
                <w:sz w:val="16"/>
              </w:rPr>
              <w:t>Explainability</w:t>
            </w:r>
          </w:p>
        </w:tc>
        <w:tc>
          <w:tcPr>
            <w:tcW w:type="dxa" w:w="3456"/>
            <w:vAlign w:val="center"/>
          </w:tcPr>
          <w:p>
            <w:r>
              <w:rPr>
                <w:sz w:val="16"/>
              </w:rPr>
              <w:t>5</w:t>
            </w:r>
          </w:p>
        </w:tc>
        <w:tc>
          <w:tcPr>
            <w:tcW w:type="dxa" w:w="3456"/>
            <w:vAlign w:val="center"/>
          </w:tcPr>
          <w:p>
            <w:r>
              <w:rPr>
                <w:sz w:val="16"/>
              </w:rPr>
              <w:t>Teams need to understand why results ranked as they did.</w:t>
            </w:r>
          </w:p>
        </w:tc>
      </w:tr>
      <w:tr>
        <w:tc>
          <w:tcPr>
            <w:tcW w:type="dxa" w:w="3456"/>
            <w:vAlign w:val="center"/>
          </w:tcPr>
          <w:p>
            <w:r>
              <w:rPr>
                <w:sz w:val="16"/>
              </w:rPr>
              <w:t>Personalization fit</w:t>
            </w:r>
          </w:p>
        </w:tc>
        <w:tc>
          <w:tcPr>
            <w:tcW w:type="dxa" w:w="3456"/>
            <w:vAlign w:val="center"/>
          </w:tcPr>
          <w:p>
            <w:r>
              <w:rPr>
                <w:sz w:val="16"/>
              </w:rPr>
              <w:t>5</w:t>
            </w:r>
          </w:p>
        </w:tc>
        <w:tc>
          <w:tcPr>
            <w:tcW w:type="dxa" w:w="3456"/>
            <w:vAlign w:val="center"/>
          </w:tcPr>
          <w:p>
            <w:r>
              <w:rPr>
                <w:sz w:val="16"/>
              </w:rPr>
              <w:t>Architecture should support user/context signals without replacing core relevance.</w:t>
            </w:r>
          </w:p>
        </w:tc>
      </w:tr>
    </w:tbl>
    <w:p>
      <w:r>
        <w:t>Scoring scale: 1 = poor fit, 3 = acceptable/conditional, 5 = strong fit. Weighted total is normalized to 5.0.</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shd w:fill="1F4E79"/>
          </w:tcPr>
          <w:p>
            <w:r>
              <w:rPr>
                <w:b/>
                <w:color w:val="FFFFFF"/>
              </w:rPr>
              <w:t>Option</w:t>
            </w:r>
          </w:p>
        </w:tc>
        <w:tc>
          <w:tcPr>
            <w:tcW w:type="dxa" w:w="1037"/>
            <w:shd w:fill="1F4E79"/>
          </w:tcPr>
          <w:p>
            <w:r>
              <w:rPr>
                <w:b/>
                <w:color w:val="FFFFFF"/>
              </w:rPr>
              <w:t>Rel.</w:t>
            </w:r>
          </w:p>
        </w:tc>
        <w:tc>
          <w:tcPr>
            <w:tcW w:type="dxa" w:w="1037"/>
            <w:shd w:fill="1F4E79"/>
          </w:tcPr>
          <w:p>
            <w:r>
              <w:rPr>
                <w:b/>
                <w:color w:val="FFFFFF"/>
              </w:rPr>
              <w:t>Lat.</w:t>
            </w:r>
          </w:p>
        </w:tc>
        <w:tc>
          <w:tcPr>
            <w:tcW w:type="dxa" w:w="1037"/>
            <w:shd w:fill="1F4E79"/>
          </w:tcPr>
          <w:p>
            <w:r>
              <w:rPr>
                <w:b/>
                <w:color w:val="FFFFFF"/>
              </w:rPr>
              <w:t>Fresh</w:t>
            </w:r>
          </w:p>
        </w:tc>
        <w:tc>
          <w:tcPr>
            <w:tcW w:type="dxa" w:w="1037"/>
            <w:shd w:fill="1F4E79"/>
          </w:tcPr>
          <w:p>
            <w:r>
              <w:rPr>
                <w:b/>
                <w:color w:val="FFFFFF"/>
              </w:rPr>
              <w:t>Scale</w:t>
            </w:r>
          </w:p>
        </w:tc>
        <w:tc>
          <w:tcPr>
            <w:tcW w:type="dxa" w:w="1037"/>
            <w:shd w:fill="1F4E79"/>
          </w:tcPr>
          <w:p>
            <w:r>
              <w:rPr>
                <w:b/>
                <w:color w:val="FFFFFF"/>
              </w:rPr>
              <w:t>Ops</w:t>
            </w:r>
          </w:p>
        </w:tc>
        <w:tc>
          <w:tcPr>
            <w:tcW w:type="dxa" w:w="1037"/>
            <w:shd w:fill="1F4E79"/>
          </w:tcPr>
          <w:p>
            <w:r>
              <w:rPr>
                <w:b/>
                <w:color w:val="FFFFFF"/>
              </w:rPr>
              <w:t>Cost</w:t>
            </w:r>
          </w:p>
        </w:tc>
        <w:tc>
          <w:tcPr>
            <w:tcW w:type="dxa" w:w="1037"/>
            <w:shd w:fill="1F4E79"/>
          </w:tcPr>
          <w:p>
            <w:r>
              <w:rPr>
                <w:b/>
                <w:color w:val="FFFFFF"/>
              </w:rPr>
              <w:t>Explain</w:t>
            </w:r>
          </w:p>
        </w:tc>
        <w:tc>
          <w:tcPr>
            <w:tcW w:type="dxa" w:w="1037"/>
            <w:shd w:fill="1F4E79"/>
          </w:tcPr>
          <w:p>
            <w:r>
              <w:rPr>
                <w:b/>
                <w:color w:val="FFFFFF"/>
              </w:rPr>
              <w:t>Pers.</w:t>
            </w:r>
          </w:p>
        </w:tc>
        <w:tc>
          <w:tcPr>
            <w:tcW w:type="dxa" w:w="1037"/>
            <w:shd w:fill="1F4E79"/>
          </w:tcPr>
          <w:p>
            <w:r>
              <w:rPr>
                <w:b/>
                <w:color w:val="FFFFFF"/>
              </w:rPr>
              <w:t>Weighted</w:t>
            </w:r>
          </w:p>
        </w:tc>
      </w:tr>
      <w:tr>
        <w:tc>
          <w:tcPr>
            <w:tcW w:type="dxa" w:w="1037"/>
            <w:vAlign w:val="center"/>
          </w:tcPr>
          <w:p>
            <w:r>
              <w:rPr>
                <w:sz w:val="14"/>
              </w:rPr>
              <w:t>A. BM25 only</w:t>
            </w:r>
          </w:p>
        </w:tc>
        <w:tc>
          <w:tcPr>
            <w:tcW w:type="dxa" w:w="1037"/>
            <w:vAlign w:val="center"/>
          </w:tcPr>
          <w:p>
            <w:r>
              <w:rPr>
                <w:sz w:val="14"/>
              </w:rPr>
              <w:t>4.1</w:t>
            </w:r>
          </w:p>
        </w:tc>
        <w:tc>
          <w:tcPr>
            <w:tcW w:type="dxa" w:w="1037"/>
            <w:vAlign w:val="center"/>
          </w:tcPr>
          <w:p>
            <w:r>
              <w:rPr>
                <w:sz w:val="14"/>
              </w:rPr>
              <w:t>4.8</w:t>
            </w:r>
          </w:p>
        </w:tc>
        <w:tc>
          <w:tcPr>
            <w:tcW w:type="dxa" w:w="1037"/>
            <w:vAlign w:val="center"/>
          </w:tcPr>
          <w:p>
            <w:r>
              <w:rPr>
                <w:sz w:val="14"/>
              </w:rPr>
              <w:t>4.8</w:t>
            </w:r>
          </w:p>
        </w:tc>
        <w:tc>
          <w:tcPr>
            <w:tcW w:type="dxa" w:w="1037"/>
            <w:vAlign w:val="center"/>
          </w:tcPr>
          <w:p>
            <w:r>
              <w:rPr>
                <w:sz w:val="14"/>
              </w:rPr>
              <w:t>4.7</w:t>
            </w:r>
          </w:p>
        </w:tc>
        <w:tc>
          <w:tcPr>
            <w:tcW w:type="dxa" w:w="1037"/>
            <w:vAlign w:val="center"/>
          </w:tcPr>
          <w:p>
            <w:r>
              <w:rPr>
                <w:sz w:val="14"/>
              </w:rPr>
              <w:t>4.7</w:t>
            </w:r>
          </w:p>
        </w:tc>
        <w:tc>
          <w:tcPr>
            <w:tcW w:type="dxa" w:w="1037"/>
            <w:vAlign w:val="center"/>
          </w:tcPr>
          <w:p>
            <w:r>
              <w:rPr>
                <w:sz w:val="14"/>
              </w:rPr>
              <w:t>4.7</w:t>
            </w:r>
          </w:p>
        </w:tc>
        <w:tc>
          <w:tcPr>
            <w:tcW w:type="dxa" w:w="1037"/>
            <w:vAlign w:val="center"/>
          </w:tcPr>
          <w:p>
            <w:r>
              <w:rPr>
                <w:sz w:val="14"/>
              </w:rPr>
              <w:t>4.7</w:t>
            </w:r>
          </w:p>
        </w:tc>
        <w:tc>
          <w:tcPr>
            <w:tcW w:type="dxa" w:w="1037"/>
            <w:vAlign w:val="center"/>
          </w:tcPr>
          <w:p>
            <w:r>
              <w:rPr>
                <w:sz w:val="14"/>
              </w:rPr>
              <w:t>2.2</w:t>
            </w:r>
          </w:p>
        </w:tc>
        <w:tc>
          <w:tcPr>
            <w:tcW w:type="dxa" w:w="1037"/>
            <w:vAlign w:val="center"/>
          </w:tcPr>
          <w:p>
            <w:r>
              <w:rPr>
                <w:sz w:val="14"/>
              </w:rPr>
              <w:t>4.46</w:t>
            </w:r>
          </w:p>
        </w:tc>
      </w:tr>
      <w:tr>
        <w:tc>
          <w:tcPr>
            <w:tcW w:type="dxa" w:w="1037"/>
            <w:vAlign w:val="center"/>
          </w:tcPr>
          <w:p>
            <w:r>
              <w:rPr>
                <w:sz w:val="14"/>
              </w:rPr>
              <w:t>B. Vector KNN only</w:t>
            </w:r>
          </w:p>
        </w:tc>
        <w:tc>
          <w:tcPr>
            <w:tcW w:type="dxa" w:w="1037"/>
            <w:vAlign w:val="center"/>
          </w:tcPr>
          <w:p>
            <w:r>
              <w:rPr>
                <w:sz w:val="14"/>
              </w:rPr>
              <w:t>3.9</w:t>
            </w:r>
          </w:p>
        </w:tc>
        <w:tc>
          <w:tcPr>
            <w:tcW w:type="dxa" w:w="1037"/>
            <w:vAlign w:val="center"/>
          </w:tcPr>
          <w:p>
            <w:r>
              <w:rPr>
                <w:sz w:val="14"/>
              </w:rPr>
              <w:t>3.7</w:t>
            </w:r>
          </w:p>
        </w:tc>
        <w:tc>
          <w:tcPr>
            <w:tcW w:type="dxa" w:w="1037"/>
            <w:vAlign w:val="center"/>
          </w:tcPr>
          <w:p>
            <w:r>
              <w:rPr>
                <w:sz w:val="14"/>
              </w:rPr>
              <w:t>4.2</w:t>
            </w:r>
          </w:p>
        </w:tc>
        <w:tc>
          <w:tcPr>
            <w:tcW w:type="dxa" w:w="1037"/>
            <w:vAlign w:val="center"/>
          </w:tcPr>
          <w:p>
            <w:r>
              <w:rPr>
                <w:sz w:val="14"/>
              </w:rPr>
              <w:t>4.1</w:t>
            </w:r>
          </w:p>
        </w:tc>
        <w:tc>
          <w:tcPr>
            <w:tcW w:type="dxa" w:w="1037"/>
            <w:vAlign w:val="center"/>
          </w:tcPr>
          <w:p>
            <w:r>
              <w:rPr>
                <w:sz w:val="14"/>
              </w:rPr>
              <w:t>3.6</w:t>
            </w:r>
          </w:p>
        </w:tc>
        <w:tc>
          <w:tcPr>
            <w:tcW w:type="dxa" w:w="1037"/>
            <w:vAlign w:val="center"/>
          </w:tcPr>
          <w:p>
            <w:r>
              <w:rPr>
                <w:sz w:val="14"/>
              </w:rPr>
              <w:t>3.2</w:t>
            </w:r>
          </w:p>
        </w:tc>
        <w:tc>
          <w:tcPr>
            <w:tcW w:type="dxa" w:w="1037"/>
            <w:vAlign w:val="center"/>
          </w:tcPr>
          <w:p>
            <w:r>
              <w:rPr>
                <w:sz w:val="14"/>
              </w:rPr>
              <w:t>2.5</w:t>
            </w:r>
          </w:p>
        </w:tc>
        <w:tc>
          <w:tcPr>
            <w:tcW w:type="dxa" w:w="1037"/>
            <w:vAlign w:val="center"/>
          </w:tcPr>
          <w:p>
            <w:r>
              <w:rPr>
                <w:sz w:val="14"/>
              </w:rPr>
              <w:t>4.4</w:t>
            </w:r>
          </w:p>
        </w:tc>
        <w:tc>
          <w:tcPr>
            <w:tcW w:type="dxa" w:w="1037"/>
            <w:vAlign w:val="center"/>
          </w:tcPr>
          <w:p>
            <w:r>
              <w:rPr>
                <w:sz w:val="14"/>
              </w:rPr>
              <w:t>3.78</w:t>
            </w:r>
          </w:p>
        </w:tc>
      </w:tr>
      <w:tr>
        <w:tc>
          <w:tcPr>
            <w:tcW w:type="dxa" w:w="1037"/>
            <w:vAlign w:val="center"/>
          </w:tcPr>
          <w:p>
            <w:r>
              <w:rPr>
                <w:sz w:val="14"/>
              </w:rPr>
              <w:t>C. BM25 + Vector</w:t>
            </w:r>
          </w:p>
        </w:tc>
        <w:tc>
          <w:tcPr>
            <w:tcW w:type="dxa" w:w="1037"/>
            <w:vAlign w:val="center"/>
          </w:tcPr>
          <w:p>
            <w:r>
              <w:rPr>
                <w:sz w:val="14"/>
              </w:rPr>
              <w:t>4.7</w:t>
            </w:r>
          </w:p>
        </w:tc>
        <w:tc>
          <w:tcPr>
            <w:tcW w:type="dxa" w:w="1037"/>
            <w:vAlign w:val="center"/>
          </w:tcPr>
          <w:p>
            <w:r>
              <w:rPr>
                <w:sz w:val="14"/>
              </w:rPr>
              <w:t>4.0</w:t>
            </w:r>
          </w:p>
        </w:tc>
        <w:tc>
          <w:tcPr>
            <w:tcW w:type="dxa" w:w="1037"/>
            <w:vAlign w:val="center"/>
          </w:tcPr>
          <w:p>
            <w:r>
              <w:rPr>
                <w:sz w:val="14"/>
              </w:rPr>
              <w:t>4.2</w:t>
            </w:r>
          </w:p>
        </w:tc>
        <w:tc>
          <w:tcPr>
            <w:tcW w:type="dxa" w:w="1037"/>
            <w:vAlign w:val="center"/>
          </w:tcPr>
          <w:p>
            <w:r>
              <w:rPr>
                <w:sz w:val="14"/>
              </w:rPr>
              <w:t>4.4</w:t>
            </w:r>
          </w:p>
        </w:tc>
        <w:tc>
          <w:tcPr>
            <w:tcW w:type="dxa" w:w="1037"/>
            <w:vAlign w:val="center"/>
          </w:tcPr>
          <w:p>
            <w:r>
              <w:rPr>
                <w:sz w:val="14"/>
              </w:rPr>
              <w:t>3.5</w:t>
            </w:r>
          </w:p>
        </w:tc>
        <w:tc>
          <w:tcPr>
            <w:tcW w:type="dxa" w:w="1037"/>
            <w:vAlign w:val="center"/>
          </w:tcPr>
          <w:p>
            <w:r>
              <w:rPr>
                <w:sz w:val="14"/>
              </w:rPr>
              <w:t>3.2</w:t>
            </w:r>
          </w:p>
        </w:tc>
        <w:tc>
          <w:tcPr>
            <w:tcW w:type="dxa" w:w="1037"/>
            <w:vAlign w:val="center"/>
          </w:tcPr>
          <w:p>
            <w:r>
              <w:rPr>
                <w:sz w:val="14"/>
              </w:rPr>
              <w:t>3.7</w:t>
            </w:r>
          </w:p>
        </w:tc>
        <w:tc>
          <w:tcPr>
            <w:tcW w:type="dxa" w:w="1037"/>
            <w:vAlign w:val="center"/>
          </w:tcPr>
          <w:p>
            <w:r>
              <w:rPr>
                <w:sz w:val="14"/>
              </w:rPr>
              <w:t>4.6</w:t>
            </w:r>
          </w:p>
        </w:tc>
        <w:tc>
          <w:tcPr>
            <w:tcW w:type="dxa" w:w="1037"/>
            <w:vAlign w:val="center"/>
          </w:tcPr>
          <w:p>
            <w:r>
              <w:rPr>
                <w:sz w:val="14"/>
              </w:rPr>
              <w:t>4.13</w:t>
            </w:r>
          </w:p>
        </w:tc>
      </w:tr>
      <w:tr>
        <w:tc>
          <w:tcPr>
            <w:tcW w:type="dxa" w:w="1037"/>
            <w:vAlign w:val="center"/>
          </w:tcPr>
          <w:p>
            <w:r>
              <w:rPr>
                <w:sz w:val="14"/>
              </w:rPr>
              <w:t>D. Graph + BM25 + Vector</w:t>
            </w:r>
          </w:p>
        </w:tc>
        <w:tc>
          <w:tcPr>
            <w:tcW w:type="dxa" w:w="1037"/>
            <w:vAlign w:val="center"/>
          </w:tcPr>
          <w:p>
            <w:r>
              <w:rPr>
                <w:sz w:val="14"/>
              </w:rPr>
              <w:t>4.9</w:t>
            </w:r>
          </w:p>
        </w:tc>
        <w:tc>
          <w:tcPr>
            <w:tcW w:type="dxa" w:w="1037"/>
            <w:vAlign w:val="center"/>
          </w:tcPr>
          <w:p>
            <w:r>
              <w:rPr>
                <w:sz w:val="14"/>
              </w:rPr>
              <w:t>2.8</w:t>
            </w:r>
          </w:p>
        </w:tc>
        <w:tc>
          <w:tcPr>
            <w:tcW w:type="dxa" w:w="1037"/>
            <w:vAlign w:val="center"/>
          </w:tcPr>
          <w:p>
            <w:r>
              <w:rPr>
                <w:sz w:val="14"/>
              </w:rPr>
              <w:t>3.2</w:t>
            </w:r>
          </w:p>
        </w:tc>
        <w:tc>
          <w:tcPr>
            <w:tcW w:type="dxa" w:w="1037"/>
            <w:vAlign w:val="center"/>
          </w:tcPr>
          <w:p>
            <w:r>
              <w:rPr>
                <w:sz w:val="14"/>
              </w:rPr>
              <w:t>3.6</w:t>
            </w:r>
          </w:p>
        </w:tc>
        <w:tc>
          <w:tcPr>
            <w:tcW w:type="dxa" w:w="1037"/>
            <w:vAlign w:val="center"/>
          </w:tcPr>
          <w:p>
            <w:r>
              <w:rPr>
                <w:sz w:val="14"/>
              </w:rPr>
              <w:t>2.3</w:t>
            </w:r>
          </w:p>
        </w:tc>
        <w:tc>
          <w:tcPr>
            <w:tcW w:type="dxa" w:w="1037"/>
            <w:vAlign w:val="center"/>
          </w:tcPr>
          <w:p>
            <w:r>
              <w:rPr>
                <w:sz w:val="14"/>
              </w:rPr>
              <w:t>2.1</w:t>
            </w:r>
          </w:p>
        </w:tc>
        <w:tc>
          <w:tcPr>
            <w:tcW w:type="dxa" w:w="1037"/>
            <w:vAlign w:val="center"/>
          </w:tcPr>
          <w:p>
            <w:r>
              <w:rPr>
                <w:sz w:val="14"/>
              </w:rPr>
              <w:t>4.1</w:t>
            </w:r>
          </w:p>
        </w:tc>
        <w:tc>
          <w:tcPr>
            <w:tcW w:type="dxa" w:w="1037"/>
            <w:vAlign w:val="center"/>
          </w:tcPr>
          <w:p>
            <w:r>
              <w:rPr>
                <w:sz w:val="14"/>
              </w:rPr>
              <w:t>4.7</w:t>
            </w:r>
          </w:p>
        </w:tc>
        <w:tc>
          <w:tcPr>
            <w:tcW w:type="dxa" w:w="1037"/>
            <w:vAlign w:val="center"/>
          </w:tcPr>
          <w:p>
            <w:r>
              <w:rPr>
                <w:sz w:val="14"/>
              </w:rPr>
              <w:t>3.50</w:t>
            </w:r>
          </w:p>
        </w:tc>
      </w:tr>
      <w:tr>
        <w:tc>
          <w:tcPr>
            <w:tcW w:type="dxa" w:w="1037"/>
            <w:vAlign w:val="center"/>
          </w:tcPr>
          <w:p>
            <w:r>
              <w:rPr>
                <w:sz w:val="14"/>
              </w:rPr>
              <w:t>E. Hybrid + Reranker</w:t>
            </w:r>
          </w:p>
        </w:tc>
        <w:tc>
          <w:tcPr>
            <w:tcW w:type="dxa" w:w="1037"/>
            <w:vAlign w:val="center"/>
          </w:tcPr>
          <w:p>
            <w:r>
              <w:rPr>
                <w:sz w:val="14"/>
              </w:rPr>
              <w:t>5.0</w:t>
            </w:r>
          </w:p>
        </w:tc>
        <w:tc>
          <w:tcPr>
            <w:tcW w:type="dxa" w:w="1037"/>
            <w:vAlign w:val="center"/>
          </w:tcPr>
          <w:p>
            <w:r>
              <w:rPr>
                <w:sz w:val="14"/>
              </w:rPr>
              <w:t>3.4</w:t>
            </w:r>
          </w:p>
        </w:tc>
        <w:tc>
          <w:tcPr>
            <w:tcW w:type="dxa" w:w="1037"/>
            <w:vAlign w:val="center"/>
          </w:tcPr>
          <w:p>
            <w:r>
              <w:rPr>
                <w:sz w:val="14"/>
              </w:rPr>
              <w:t>3.9</w:t>
            </w:r>
          </w:p>
        </w:tc>
        <w:tc>
          <w:tcPr>
            <w:tcW w:type="dxa" w:w="1037"/>
            <w:vAlign w:val="center"/>
          </w:tcPr>
          <w:p>
            <w:r>
              <w:rPr>
                <w:sz w:val="14"/>
              </w:rPr>
              <w:t>4.2</w:t>
            </w:r>
          </w:p>
        </w:tc>
        <w:tc>
          <w:tcPr>
            <w:tcW w:type="dxa" w:w="1037"/>
            <w:vAlign w:val="center"/>
          </w:tcPr>
          <w:p>
            <w:r>
              <w:rPr>
                <w:sz w:val="14"/>
              </w:rPr>
              <w:t>2.8</w:t>
            </w:r>
          </w:p>
        </w:tc>
        <w:tc>
          <w:tcPr>
            <w:tcW w:type="dxa" w:w="1037"/>
            <w:vAlign w:val="center"/>
          </w:tcPr>
          <w:p>
            <w:r>
              <w:rPr>
                <w:sz w:val="14"/>
              </w:rPr>
              <w:t>2.5</w:t>
            </w:r>
          </w:p>
        </w:tc>
        <w:tc>
          <w:tcPr>
            <w:tcW w:type="dxa" w:w="1037"/>
            <w:vAlign w:val="center"/>
          </w:tcPr>
          <w:p>
            <w:r>
              <w:rPr>
                <w:sz w:val="14"/>
              </w:rPr>
              <w:t>3.5</w:t>
            </w:r>
          </w:p>
        </w:tc>
        <w:tc>
          <w:tcPr>
            <w:tcW w:type="dxa" w:w="1037"/>
            <w:vAlign w:val="center"/>
          </w:tcPr>
          <w:p>
            <w:r>
              <w:rPr>
                <w:sz w:val="14"/>
              </w:rPr>
              <w:t>5.0</w:t>
            </w:r>
          </w:p>
        </w:tc>
        <w:tc>
          <w:tcPr>
            <w:tcW w:type="dxa" w:w="1037"/>
            <w:vAlign w:val="center"/>
          </w:tcPr>
          <w:p>
            <w:r>
              <w:rPr>
                <w:sz w:val="14"/>
              </w:rPr>
              <w:t>3.89</w:t>
            </w:r>
          </w:p>
        </w:tc>
      </w:tr>
    </w:tbl>
    <w:p>
      <w:pPr>
        <w:pStyle w:val="Heading2"/>
      </w:pPr>
      <w:r>
        <w:t>Model recommendation</w:t>
      </w:r>
    </w:p>
    <w:p>
      <w:r>
        <w:t>Choose C — BM25 + Vector as the default architecture for the first production version, with a reranker introduced selectively when measured relevance gains justify its latency and cost. This preserves exact lexical strength while adding semantic recall, and it avoids making the most complex option the starting point.</w:t>
      </w:r>
    </w:p>
    <w:p>
      <w:pPr>
        <w:pStyle w:val="ListBullet"/>
      </w:pPr>
      <w:r>
        <w:t>Why not BM25 only: excellent speed, freshness, and explainability, but weaker semantic recall and personalization potential.</w:t>
      </w:r>
    </w:p>
    <w:p>
      <w:pPr>
        <w:pStyle w:val="ListBullet"/>
      </w:pPr>
      <w:r>
        <w:t>Why not vector only: semantic strength is valuable, but exact SKU/brand/model-number matching and explainability can suffer.</w:t>
      </w:r>
    </w:p>
    <w:p>
      <w:pPr>
        <w:pStyle w:val="ListBullet"/>
      </w:pPr>
      <w:r>
        <w:t>Why not graph + hybrid now: potentially strong for rich relationship queries, but the operational and modeling cost is not justified without a proven graph-specific use case.</w:t>
      </w:r>
    </w:p>
    <w:p>
      <w:pPr>
        <w:pStyle w:val="ListBullet"/>
      </w:pPr>
      <w:r>
        <w:t>Why not rerank everything on day one: relevance may improve, but reranker inference adds latency, cost, failure modes, and capacity planning.</w:t>
      </w:r>
    </w:p>
    <w:p>
      <w:pPr>
        <w:pStyle w:val="Heading2"/>
      </w:pPr>
      <w:r>
        <w:t>Evidence gaps and validation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Evidence gap</w:t>
            </w:r>
          </w:p>
        </w:tc>
        <w:tc>
          <w:tcPr>
            <w:tcW w:type="dxa" w:w="3456"/>
            <w:shd w:fill="1F4E79"/>
          </w:tcPr>
          <w:p>
            <w:r>
              <w:rPr>
                <w:b/>
                <w:color w:val="FFFFFF"/>
              </w:rPr>
              <w:t>How to validate</w:t>
            </w:r>
          </w:p>
        </w:tc>
        <w:tc>
          <w:tcPr>
            <w:tcW w:type="dxa" w:w="3456"/>
            <w:shd w:fill="1F4E79"/>
          </w:tcPr>
          <w:p>
            <w:r>
              <w:rPr>
                <w:b/>
                <w:color w:val="FFFFFF"/>
              </w:rPr>
              <w:t>Decision impact</w:t>
            </w:r>
          </w:p>
        </w:tc>
      </w:tr>
      <w:tr>
        <w:tc>
          <w:tcPr>
            <w:tcW w:type="dxa" w:w="3456"/>
            <w:vAlign w:val="center"/>
          </w:tcPr>
          <w:p>
            <w:r>
              <w:rPr>
                <w:sz w:val="16"/>
              </w:rPr>
              <w:t>Real relevance lift of hybrid vs BM25</w:t>
            </w:r>
          </w:p>
        </w:tc>
        <w:tc>
          <w:tcPr>
            <w:tcW w:type="dxa" w:w="3456"/>
            <w:vAlign w:val="center"/>
          </w:tcPr>
          <w:p>
            <w:r>
              <w:rPr>
                <w:sz w:val="16"/>
              </w:rPr>
              <w:t>Offline judged query set + NDCG/MRR + online A/B test</w:t>
            </w:r>
          </w:p>
        </w:tc>
        <w:tc>
          <w:tcPr>
            <w:tcW w:type="dxa" w:w="3456"/>
            <w:vAlign w:val="center"/>
          </w:tcPr>
          <w:p>
            <w:r>
              <w:rPr>
                <w:sz w:val="16"/>
              </w:rPr>
              <w:t>Could justify staying BM25-only or adding reranking</w:t>
            </w:r>
          </w:p>
        </w:tc>
      </w:tr>
      <w:tr>
        <w:tc>
          <w:tcPr>
            <w:tcW w:type="dxa" w:w="3456"/>
            <w:vAlign w:val="center"/>
          </w:tcPr>
          <w:p>
            <w:r>
              <w:rPr>
                <w:sz w:val="16"/>
              </w:rPr>
              <w:t>P95 latency under peak load</w:t>
            </w:r>
          </w:p>
        </w:tc>
        <w:tc>
          <w:tcPr>
            <w:tcW w:type="dxa" w:w="3456"/>
            <w:vAlign w:val="center"/>
          </w:tcPr>
          <w:p>
            <w:r>
              <w:rPr>
                <w:sz w:val="16"/>
              </w:rPr>
              <w:t>Production-like load test across retrieval + merge + rerank</w:t>
            </w:r>
          </w:p>
        </w:tc>
        <w:tc>
          <w:tcPr>
            <w:tcW w:type="dxa" w:w="3456"/>
            <w:vAlign w:val="center"/>
          </w:tcPr>
          <w:p>
            <w:r>
              <w:rPr>
                <w:sz w:val="16"/>
              </w:rPr>
              <w:t>Could force fewer candidates, caching, or selective reranking</w:t>
            </w:r>
          </w:p>
        </w:tc>
      </w:tr>
      <w:tr>
        <w:tc>
          <w:tcPr>
            <w:tcW w:type="dxa" w:w="3456"/>
            <w:vAlign w:val="center"/>
          </w:tcPr>
          <w:p>
            <w:r>
              <w:rPr>
                <w:sz w:val="16"/>
              </w:rPr>
              <w:t>Index freshness requirement</w:t>
            </w:r>
          </w:p>
        </w:tc>
        <w:tc>
          <w:tcPr>
            <w:tcW w:type="dxa" w:w="3456"/>
            <w:vAlign w:val="center"/>
          </w:tcPr>
          <w:p>
            <w:r>
              <w:rPr>
                <w:sz w:val="16"/>
              </w:rPr>
              <w:t>Measure catalog/inventory update-to-search visibility</w:t>
            </w:r>
          </w:p>
        </w:tc>
        <w:tc>
          <w:tcPr>
            <w:tcW w:type="dxa" w:w="3456"/>
            <w:vAlign w:val="center"/>
          </w:tcPr>
          <w:p>
            <w:r>
              <w:rPr>
                <w:sz w:val="16"/>
              </w:rPr>
              <w:t>May change ingestion/index architecture</w:t>
            </w:r>
          </w:p>
        </w:tc>
      </w:tr>
      <w:tr>
        <w:tc>
          <w:tcPr>
            <w:tcW w:type="dxa" w:w="3456"/>
            <w:vAlign w:val="center"/>
          </w:tcPr>
          <w:p>
            <w:r>
              <w:rPr>
                <w:sz w:val="16"/>
              </w:rPr>
              <w:t>Vector serving cost</w:t>
            </w:r>
          </w:p>
        </w:tc>
        <w:tc>
          <w:tcPr>
            <w:tcW w:type="dxa" w:w="3456"/>
            <w:vAlign w:val="center"/>
          </w:tcPr>
          <w:p>
            <w:r>
              <w:rPr>
                <w:sz w:val="16"/>
              </w:rPr>
              <w:t>Capacity model + representative embedding dimension/index size</w:t>
            </w:r>
          </w:p>
        </w:tc>
        <w:tc>
          <w:tcPr>
            <w:tcW w:type="dxa" w:w="3456"/>
            <w:vAlign w:val="center"/>
          </w:tcPr>
          <w:p>
            <w:r>
              <w:rPr>
                <w:sz w:val="16"/>
              </w:rPr>
              <w:t>May change ANN technology or query routing</w:t>
            </w:r>
          </w:p>
        </w:tc>
      </w:tr>
      <w:tr>
        <w:tc>
          <w:tcPr>
            <w:tcW w:type="dxa" w:w="3456"/>
            <w:vAlign w:val="center"/>
          </w:tcPr>
          <w:p>
            <w:r>
              <w:rPr>
                <w:sz w:val="16"/>
              </w:rPr>
              <w:t>Personalization value</w:t>
            </w:r>
          </w:p>
        </w:tc>
        <w:tc>
          <w:tcPr>
            <w:tcW w:type="dxa" w:w="3456"/>
            <w:vAlign w:val="center"/>
          </w:tcPr>
          <w:p>
            <w:r>
              <w:rPr>
                <w:sz w:val="16"/>
              </w:rPr>
              <w:t>A/B test with privacy-safe context features</w:t>
            </w:r>
          </w:p>
        </w:tc>
        <w:tc>
          <w:tcPr>
            <w:tcW w:type="dxa" w:w="3456"/>
            <w:vAlign w:val="center"/>
          </w:tcPr>
          <w:p>
            <w:r>
              <w:rPr>
                <w:sz w:val="16"/>
              </w:rPr>
              <w:t>May change ranking feature set</w:t>
            </w:r>
          </w:p>
        </w:tc>
      </w:tr>
    </w:tbl>
    <w:p>
      <w:pPr>
        <w:pStyle w:val="Heading2"/>
      </w:pPr>
      <w:r>
        <w:t>Sensitivity analysis</w:t>
      </w:r>
    </w:p>
    <w:p>
      <w:pPr>
        <w:pStyle w:val="ListBullet"/>
      </w:pPr>
      <w:r>
        <w:t>If P95 latency is weighted above relevance, BM25-only may win.</w:t>
      </w:r>
    </w:p>
    <w:p>
      <w:pPr>
        <w:pStyle w:val="ListBullet"/>
      </w:pPr>
      <w:r>
        <w:t>If semantic recall is proven to produce large conversion gains, hybrid + reranker may win despite higher cost.</w:t>
      </w:r>
    </w:p>
    <w:p>
      <w:pPr>
        <w:pStyle w:val="ListBullet"/>
      </w:pPr>
      <w:r>
        <w:t>If freshness must be near real time for inventory-sensitive filtering, indexing architecture and metadata filtering become first-class drivers.</w:t>
      </w:r>
    </w:p>
    <w:p>
      <w:pPr>
        <w:pStyle w:val="ListBullet"/>
      </w:pPr>
      <w:r>
        <w:t>If query traffic is highly skewed, caching and query classification may reduce the cost of the richer architecture.</w:t>
      </w:r>
    </w:p>
    <w:p>
      <w:pPr>
        <w:pStyle w:val="Heading1"/>
      </w:pPr>
      <w:r>
        <w:t>3. Lab 3B — Order Datastore Trade-off</w:t>
      </w:r>
    </w:p>
    <w:p>
      <w:r>
        <w:t>Decision question: What should be the authoritative datastore for order management?</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Pr>
                <w:b/>
                <w:color w:val="FFFFFF"/>
              </w:rPr>
              <w:t>Criterion</w:t>
            </w:r>
          </w:p>
        </w:tc>
        <w:tc>
          <w:tcPr>
            <w:tcW w:type="dxa" w:w="5184"/>
            <w:shd w:fill="1F4E79"/>
          </w:tcPr>
          <w:p>
            <w:r>
              <w:rPr>
                <w:b/>
                <w:color w:val="FFFFFF"/>
              </w:rPr>
              <w:t>Weight</w:t>
            </w:r>
          </w:p>
        </w:tc>
      </w:tr>
      <w:tr>
        <w:tc>
          <w:tcPr>
            <w:tcW w:type="dxa" w:w="5184"/>
            <w:vAlign w:val="center"/>
          </w:tcPr>
          <w:p>
            <w:r>
              <w:rPr>
                <w:sz w:val="16"/>
              </w:rPr>
              <w:t>Transactional correctness</w:t>
            </w:r>
          </w:p>
        </w:tc>
        <w:tc>
          <w:tcPr>
            <w:tcW w:type="dxa" w:w="5184"/>
            <w:vAlign w:val="center"/>
          </w:tcPr>
          <w:p>
            <w:r>
              <w:rPr>
                <w:sz w:val="16"/>
              </w:rPr>
              <w:t>25</w:t>
            </w:r>
          </w:p>
        </w:tc>
      </w:tr>
      <w:tr>
        <w:tc>
          <w:tcPr>
            <w:tcW w:type="dxa" w:w="5184"/>
            <w:vAlign w:val="center"/>
          </w:tcPr>
          <w:p>
            <w:r>
              <w:rPr>
                <w:sz w:val="16"/>
              </w:rPr>
              <w:t>Multi-record transaction support</w:t>
            </w:r>
          </w:p>
        </w:tc>
        <w:tc>
          <w:tcPr>
            <w:tcW w:type="dxa" w:w="5184"/>
            <w:vAlign w:val="center"/>
          </w:tcPr>
          <w:p>
            <w:r>
              <w:rPr>
                <w:sz w:val="16"/>
              </w:rPr>
              <w:t>15</w:t>
            </w:r>
          </w:p>
        </w:tc>
      </w:tr>
      <w:tr>
        <w:tc>
          <w:tcPr>
            <w:tcW w:type="dxa" w:w="5184"/>
            <w:vAlign w:val="center"/>
          </w:tcPr>
          <w:p>
            <w:r>
              <w:rPr>
                <w:sz w:val="16"/>
              </w:rPr>
              <w:t>Operational simplicity</w:t>
            </w:r>
          </w:p>
        </w:tc>
        <w:tc>
          <w:tcPr>
            <w:tcW w:type="dxa" w:w="5184"/>
            <w:vAlign w:val="center"/>
          </w:tcPr>
          <w:p>
            <w:r>
              <w:rPr>
                <w:sz w:val="16"/>
              </w:rPr>
              <w:t>15</w:t>
            </w:r>
          </w:p>
        </w:tc>
      </w:tr>
      <w:tr>
        <w:tc>
          <w:tcPr>
            <w:tcW w:type="dxa" w:w="5184"/>
            <w:vAlign w:val="center"/>
          </w:tcPr>
          <w:p>
            <w:r>
              <w:rPr>
                <w:sz w:val="16"/>
              </w:rPr>
              <w:t>Scale/headroom</w:t>
            </w:r>
          </w:p>
        </w:tc>
        <w:tc>
          <w:tcPr>
            <w:tcW w:type="dxa" w:w="5184"/>
            <w:vAlign w:val="center"/>
          </w:tcPr>
          <w:p>
            <w:r>
              <w:rPr>
                <w:sz w:val="16"/>
              </w:rPr>
              <w:t>10</w:t>
            </w:r>
          </w:p>
        </w:tc>
      </w:tr>
      <w:tr>
        <w:tc>
          <w:tcPr>
            <w:tcW w:type="dxa" w:w="5184"/>
            <w:vAlign w:val="center"/>
          </w:tcPr>
          <w:p>
            <w:r>
              <w:rPr>
                <w:sz w:val="16"/>
              </w:rPr>
              <w:t>Availability/recovery</w:t>
            </w:r>
          </w:p>
        </w:tc>
        <w:tc>
          <w:tcPr>
            <w:tcW w:type="dxa" w:w="5184"/>
            <w:vAlign w:val="center"/>
          </w:tcPr>
          <w:p>
            <w:r>
              <w:rPr>
                <w:sz w:val="16"/>
              </w:rPr>
              <w:t>10</w:t>
            </w:r>
          </w:p>
        </w:tc>
      </w:tr>
      <w:tr>
        <w:tc>
          <w:tcPr>
            <w:tcW w:type="dxa" w:w="5184"/>
            <w:vAlign w:val="center"/>
          </w:tcPr>
          <w:p>
            <w:r>
              <w:rPr>
                <w:sz w:val="16"/>
              </w:rPr>
              <w:t>Query flexibility</w:t>
            </w:r>
          </w:p>
        </w:tc>
        <w:tc>
          <w:tcPr>
            <w:tcW w:type="dxa" w:w="5184"/>
            <w:vAlign w:val="center"/>
          </w:tcPr>
          <w:p>
            <w:r>
              <w:rPr>
                <w:sz w:val="16"/>
              </w:rPr>
              <w:t>10</w:t>
            </w:r>
          </w:p>
        </w:tc>
      </w:tr>
      <w:tr>
        <w:tc>
          <w:tcPr>
            <w:tcW w:type="dxa" w:w="5184"/>
            <w:vAlign w:val="center"/>
          </w:tcPr>
          <w:p>
            <w:r>
              <w:rPr>
                <w:sz w:val="16"/>
              </w:rPr>
              <w:t>Cost predictability</w:t>
            </w:r>
          </w:p>
        </w:tc>
        <w:tc>
          <w:tcPr>
            <w:tcW w:type="dxa" w:w="5184"/>
            <w:vAlign w:val="center"/>
          </w:tcPr>
          <w:p>
            <w:r>
              <w:rPr>
                <w:sz w:val="16"/>
              </w:rPr>
              <w:t>5</w:t>
            </w:r>
          </w:p>
        </w:tc>
      </w:tr>
      <w:tr>
        <w:tc>
          <w:tcPr>
            <w:tcW w:type="dxa" w:w="5184"/>
            <w:vAlign w:val="center"/>
          </w:tcPr>
          <w:p>
            <w:r>
              <w:rPr>
                <w:sz w:val="16"/>
              </w:rPr>
              <w:t>Team familiarity</w:t>
            </w:r>
          </w:p>
        </w:tc>
        <w:tc>
          <w:tcPr>
            <w:tcW w:type="dxa" w:w="5184"/>
            <w:vAlign w:val="center"/>
          </w:tcPr>
          <w:p>
            <w:r>
              <w:rPr>
                <w:sz w:val="16"/>
              </w:rPr>
              <w:t>10</w:t>
            </w:r>
          </w:p>
        </w:tc>
      </w:tr>
    </w:tbl>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shd w:fill="1F4E79"/>
          </w:tcPr>
          <w:p>
            <w:r>
              <w:rPr>
                <w:b/>
                <w:color w:val="FFFFFF"/>
              </w:rPr>
              <w:t>Option</w:t>
            </w:r>
          </w:p>
        </w:tc>
        <w:tc>
          <w:tcPr>
            <w:tcW w:type="dxa" w:w="1037"/>
            <w:shd w:fill="1F4E79"/>
          </w:tcPr>
          <w:p>
            <w:r>
              <w:rPr>
                <w:b/>
                <w:color w:val="FFFFFF"/>
              </w:rPr>
              <w:t>Correct</w:t>
            </w:r>
          </w:p>
        </w:tc>
        <w:tc>
          <w:tcPr>
            <w:tcW w:type="dxa" w:w="1037"/>
            <w:shd w:fill="1F4E79"/>
          </w:tcPr>
          <w:p>
            <w:r>
              <w:rPr>
                <w:b/>
                <w:color w:val="FFFFFF"/>
              </w:rPr>
              <w:t>Txn</w:t>
            </w:r>
          </w:p>
        </w:tc>
        <w:tc>
          <w:tcPr>
            <w:tcW w:type="dxa" w:w="1037"/>
            <w:shd w:fill="1F4E79"/>
          </w:tcPr>
          <w:p>
            <w:r>
              <w:rPr>
                <w:b/>
                <w:color w:val="FFFFFF"/>
              </w:rPr>
              <w:t>Ops</w:t>
            </w:r>
          </w:p>
        </w:tc>
        <w:tc>
          <w:tcPr>
            <w:tcW w:type="dxa" w:w="1037"/>
            <w:shd w:fill="1F4E79"/>
          </w:tcPr>
          <w:p>
            <w:r>
              <w:rPr>
                <w:b/>
                <w:color w:val="FFFFFF"/>
              </w:rPr>
              <w:t>Scale</w:t>
            </w:r>
          </w:p>
        </w:tc>
        <w:tc>
          <w:tcPr>
            <w:tcW w:type="dxa" w:w="1037"/>
            <w:shd w:fill="1F4E79"/>
          </w:tcPr>
          <w:p>
            <w:r>
              <w:rPr>
                <w:b/>
                <w:color w:val="FFFFFF"/>
              </w:rPr>
              <w:t>Recovery</w:t>
            </w:r>
          </w:p>
        </w:tc>
        <w:tc>
          <w:tcPr>
            <w:tcW w:type="dxa" w:w="1037"/>
            <w:shd w:fill="1F4E79"/>
          </w:tcPr>
          <w:p>
            <w:r>
              <w:rPr>
                <w:b/>
                <w:color w:val="FFFFFF"/>
              </w:rPr>
              <w:t>Query</w:t>
            </w:r>
          </w:p>
        </w:tc>
        <w:tc>
          <w:tcPr>
            <w:tcW w:type="dxa" w:w="1037"/>
            <w:shd w:fill="1F4E79"/>
          </w:tcPr>
          <w:p>
            <w:r>
              <w:rPr>
                <w:b/>
                <w:color w:val="FFFFFF"/>
              </w:rPr>
              <w:t>Cost</w:t>
            </w:r>
          </w:p>
        </w:tc>
        <w:tc>
          <w:tcPr>
            <w:tcW w:type="dxa" w:w="1037"/>
            <w:shd w:fill="1F4E79"/>
          </w:tcPr>
          <w:p>
            <w:r>
              <w:rPr>
                <w:b/>
                <w:color w:val="FFFFFF"/>
              </w:rPr>
              <w:t>Team</w:t>
            </w:r>
          </w:p>
        </w:tc>
        <w:tc>
          <w:tcPr>
            <w:tcW w:type="dxa" w:w="1037"/>
            <w:shd w:fill="1F4E79"/>
          </w:tcPr>
          <w:p>
            <w:r>
              <w:rPr>
                <w:b/>
                <w:color w:val="FFFFFF"/>
              </w:rPr>
              <w:t>Weighted</w:t>
            </w:r>
          </w:p>
        </w:tc>
      </w:tr>
      <w:tr>
        <w:tc>
          <w:tcPr>
            <w:tcW w:type="dxa" w:w="1037"/>
            <w:vAlign w:val="center"/>
          </w:tcPr>
          <w:p>
            <w:r>
              <w:rPr>
                <w:sz w:val="14"/>
              </w:rPr>
              <w:t>PostgreSQL</w:t>
            </w:r>
          </w:p>
        </w:tc>
        <w:tc>
          <w:tcPr>
            <w:tcW w:type="dxa" w:w="1037"/>
            <w:vAlign w:val="center"/>
          </w:tcPr>
          <w:p>
            <w:r>
              <w:rPr>
                <w:sz w:val="14"/>
              </w:rPr>
              <w:t>5.0</w:t>
            </w:r>
          </w:p>
        </w:tc>
        <w:tc>
          <w:tcPr>
            <w:tcW w:type="dxa" w:w="1037"/>
            <w:vAlign w:val="center"/>
          </w:tcPr>
          <w:p>
            <w:r>
              <w:rPr>
                <w:sz w:val="14"/>
              </w:rPr>
              <w:t>5.0</w:t>
            </w:r>
          </w:p>
        </w:tc>
        <w:tc>
          <w:tcPr>
            <w:tcW w:type="dxa" w:w="1037"/>
            <w:vAlign w:val="center"/>
          </w:tcPr>
          <w:p>
            <w:r>
              <w:rPr>
                <w:sz w:val="14"/>
              </w:rPr>
              <w:t>4.5</w:t>
            </w:r>
          </w:p>
        </w:tc>
        <w:tc>
          <w:tcPr>
            <w:tcW w:type="dxa" w:w="1037"/>
            <w:vAlign w:val="center"/>
          </w:tcPr>
          <w:p>
            <w:r>
              <w:rPr>
                <w:sz w:val="14"/>
              </w:rPr>
              <w:t>3.8</w:t>
            </w:r>
          </w:p>
        </w:tc>
        <w:tc>
          <w:tcPr>
            <w:tcW w:type="dxa" w:w="1037"/>
            <w:vAlign w:val="center"/>
          </w:tcPr>
          <w:p>
            <w:r>
              <w:rPr>
                <w:sz w:val="14"/>
              </w:rPr>
              <w:t>4.3</w:t>
            </w:r>
          </w:p>
        </w:tc>
        <w:tc>
          <w:tcPr>
            <w:tcW w:type="dxa" w:w="1037"/>
            <w:vAlign w:val="center"/>
          </w:tcPr>
          <w:p>
            <w:r>
              <w:rPr>
                <w:sz w:val="14"/>
              </w:rPr>
              <w:t>5.0</w:t>
            </w:r>
          </w:p>
        </w:tc>
        <w:tc>
          <w:tcPr>
            <w:tcW w:type="dxa" w:w="1037"/>
            <w:vAlign w:val="center"/>
          </w:tcPr>
          <w:p>
            <w:r>
              <w:rPr>
                <w:sz w:val="14"/>
              </w:rPr>
              <w:t>4.2</w:t>
            </w:r>
          </w:p>
        </w:tc>
        <w:tc>
          <w:tcPr>
            <w:tcW w:type="dxa" w:w="1037"/>
            <w:vAlign w:val="center"/>
          </w:tcPr>
          <w:p>
            <w:r>
              <w:rPr>
                <w:sz w:val="14"/>
              </w:rPr>
              <w:t>4.7</w:t>
            </w:r>
          </w:p>
        </w:tc>
        <w:tc>
          <w:tcPr>
            <w:tcW w:type="dxa" w:w="1037"/>
            <w:vAlign w:val="center"/>
          </w:tcPr>
          <w:p>
            <w:r>
              <w:rPr>
                <w:sz w:val="14"/>
              </w:rPr>
              <w:t>4.67</w:t>
            </w:r>
          </w:p>
        </w:tc>
      </w:tr>
      <w:tr>
        <w:tc>
          <w:tcPr>
            <w:tcW w:type="dxa" w:w="1037"/>
            <w:vAlign w:val="center"/>
          </w:tcPr>
          <w:p>
            <w:r>
              <w:rPr>
                <w:sz w:val="14"/>
              </w:rPr>
              <w:t>DynamoDB</w:t>
            </w:r>
          </w:p>
        </w:tc>
        <w:tc>
          <w:tcPr>
            <w:tcW w:type="dxa" w:w="1037"/>
            <w:vAlign w:val="center"/>
          </w:tcPr>
          <w:p>
            <w:r>
              <w:rPr>
                <w:sz w:val="14"/>
              </w:rPr>
              <w:t>3.8</w:t>
            </w:r>
          </w:p>
        </w:tc>
        <w:tc>
          <w:tcPr>
            <w:tcW w:type="dxa" w:w="1037"/>
            <w:vAlign w:val="center"/>
          </w:tcPr>
          <w:p>
            <w:r>
              <w:rPr>
                <w:sz w:val="14"/>
              </w:rPr>
              <w:t>2.8</w:t>
            </w:r>
          </w:p>
        </w:tc>
        <w:tc>
          <w:tcPr>
            <w:tcW w:type="dxa" w:w="1037"/>
            <w:vAlign w:val="center"/>
          </w:tcPr>
          <w:p>
            <w:r>
              <w:rPr>
                <w:sz w:val="14"/>
              </w:rPr>
              <w:t>4.0</w:t>
            </w:r>
          </w:p>
        </w:tc>
        <w:tc>
          <w:tcPr>
            <w:tcW w:type="dxa" w:w="1037"/>
            <w:vAlign w:val="center"/>
          </w:tcPr>
          <w:p>
            <w:r>
              <w:rPr>
                <w:sz w:val="14"/>
              </w:rPr>
              <w:t>5.0</w:t>
            </w:r>
          </w:p>
        </w:tc>
        <w:tc>
          <w:tcPr>
            <w:tcW w:type="dxa" w:w="1037"/>
            <w:vAlign w:val="center"/>
          </w:tcPr>
          <w:p>
            <w:r>
              <w:rPr>
                <w:sz w:val="14"/>
              </w:rPr>
              <w:t>4.7</w:t>
            </w:r>
          </w:p>
        </w:tc>
        <w:tc>
          <w:tcPr>
            <w:tcW w:type="dxa" w:w="1037"/>
            <w:vAlign w:val="center"/>
          </w:tcPr>
          <w:p>
            <w:r>
              <w:rPr>
                <w:sz w:val="14"/>
              </w:rPr>
              <w:t>3.0</w:t>
            </w:r>
          </w:p>
        </w:tc>
        <w:tc>
          <w:tcPr>
            <w:tcW w:type="dxa" w:w="1037"/>
            <w:vAlign w:val="center"/>
          </w:tcPr>
          <w:p>
            <w:r>
              <w:rPr>
                <w:sz w:val="14"/>
              </w:rPr>
              <w:t>3.8</w:t>
            </w:r>
          </w:p>
        </w:tc>
        <w:tc>
          <w:tcPr>
            <w:tcW w:type="dxa" w:w="1037"/>
            <w:vAlign w:val="center"/>
          </w:tcPr>
          <w:p>
            <w:r>
              <w:rPr>
                <w:sz w:val="14"/>
              </w:rPr>
              <w:t>3.8</w:t>
            </w:r>
          </w:p>
        </w:tc>
        <w:tc>
          <w:tcPr>
            <w:tcW w:type="dxa" w:w="1037"/>
            <w:vAlign w:val="center"/>
          </w:tcPr>
          <w:p>
            <w:r>
              <w:rPr>
                <w:sz w:val="14"/>
              </w:rPr>
              <w:t>3.81</w:t>
            </w:r>
          </w:p>
        </w:tc>
      </w:tr>
      <w:tr>
        <w:tc>
          <w:tcPr>
            <w:tcW w:type="dxa" w:w="1037"/>
            <w:vAlign w:val="center"/>
          </w:tcPr>
          <w:p>
            <w:r>
              <w:rPr>
                <w:sz w:val="14"/>
              </w:rPr>
              <w:t>Cassandra</w:t>
            </w:r>
          </w:p>
        </w:tc>
        <w:tc>
          <w:tcPr>
            <w:tcW w:type="dxa" w:w="1037"/>
            <w:vAlign w:val="center"/>
          </w:tcPr>
          <w:p>
            <w:r>
              <w:rPr>
                <w:sz w:val="14"/>
              </w:rPr>
              <w:t>3.2</w:t>
            </w:r>
          </w:p>
        </w:tc>
        <w:tc>
          <w:tcPr>
            <w:tcW w:type="dxa" w:w="1037"/>
            <w:vAlign w:val="center"/>
          </w:tcPr>
          <w:p>
            <w:r>
              <w:rPr>
                <w:sz w:val="14"/>
              </w:rPr>
              <w:t>2.3</w:t>
            </w:r>
          </w:p>
        </w:tc>
        <w:tc>
          <w:tcPr>
            <w:tcW w:type="dxa" w:w="1037"/>
            <w:vAlign w:val="center"/>
          </w:tcPr>
          <w:p>
            <w:r>
              <w:rPr>
                <w:sz w:val="14"/>
              </w:rPr>
              <w:t>2.8</w:t>
            </w:r>
          </w:p>
        </w:tc>
        <w:tc>
          <w:tcPr>
            <w:tcW w:type="dxa" w:w="1037"/>
            <w:vAlign w:val="center"/>
          </w:tcPr>
          <w:p>
            <w:r>
              <w:rPr>
                <w:sz w:val="14"/>
              </w:rPr>
              <w:t>5.0</w:t>
            </w:r>
          </w:p>
        </w:tc>
        <w:tc>
          <w:tcPr>
            <w:tcW w:type="dxa" w:w="1037"/>
            <w:vAlign w:val="center"/>
          </w:tcPr>
          <w:p>
            <w:r>
              <w:rPr>
                <w:sz w:val="14"/>
              </w:rPr>
              <w:t>4.4</w:t>
            </w:r>
          </w:p>
        </w:tc>
        <w:tc>
          <w:tcPr>
            <w:tcW w:type="dxa" w:w="1037"/>
            <w:vAlign w:val="center"/>
          </w:tcPr>
          <w:p>
            <w:r>
              <w:rPr>
                <w:sz w:val="14"/>
              </w:rPr>
              <w:t>2.7</w:t>
            </w:r>
          </w:p>
        </w:tc>
        <w:tc>
          <w:tcPr>
            <w:tcW w:type="dxa" w:w="1037"/>
            <w:vAlign w:val="center"/>
          </w:tcPr>
          <w:p>
            <w:r>
              <w:rPr>
                <w:sz w:val="14"/>
              </w:rPr>
              <w:t>3.5</w:t>
            </w:r>
          </w:p>
        </w:tc>
        <w:tc>
          <w:tcPr>
            <w:tcW w:type="dxa" w:w="1037"/>
            <w:vAlign w:val="center"/>
          </w:tcPr>
          <w:p>
            <w:r>
              <w:rPr>
                <w:sz w:val="14"/>
              </w:rPr>
              <w:t>2.8</w:t>
            </w:r>
          </w:p>
        </w:tc>
        <w:tc>
          <w:tcPr>
            <w:tcW w:type="dxa" w:w="1037"/>
            <w:vAlign w:val="center"/>
          </w:tcPr>
          <w:p>
            <w:r>
              <w:rPr>
                <w:sz w:val="14"/>
              </w:rPr>
              <w:t>3.23</w:t>
            </w:r>
          </w:p>
        </w:tc>
      </w:tr>
    </w:tbl>
    <w:p>
      <w:pPr>
        <w:pStyle w:val="Heading2"/>
      </w:pPr>
      <w:r>
        <w:t>Model recommendation</w:t>
      </w:r>
    </w:p>
    <w:p>
      <w:r>
        <w:t>Choose PostgreSQL as the authoritative order store for the reference design. The decision prioritizes transactional correctness, flexible transactional workflows, queryability, recovery clarity, and team operability over maximum horizontal write scale.</w:t>
      </w:r>
    </w:p>
    <w:p>
      <w:pPr>
        <w:pStyle w:val="ListBullet"/>
      </w:pPr>
      <w:r>
        <w:t>Use asynchronous events/outbox patterns to publish order state changes; do not make downstream consumers part of the primary transaction.</w:t>
      </w:r>
    </w:p>
    <w:p>
      <w:pPr>
        <w:pStyle w:val="ListBullet"/>
      </w:pPr>
      <w:r>
        <w:t>Scale reads and selected derived views separately before replacing the system of record.</w:t>
      </w:r>
    </w:p>
    <w:p>
      <w:pPr>
        <w:pStyle w:val="ListBullet"/>
      </w:pPr>
      <w:r>
        <w:t>Partition/shard only when measured workload and data volume require it; do not pre-emptively trade away simplicity.</w:t>
      </w:r>
    </w:p>
    <w:p>
      <w:pPr>
        <w:pStyle w:val="ListBullet"/>
      </w:pPr>
      <w:r>
        <w:t>DynamoDB becomes stronger if access patterns are stable, very high scale dominates, and transaction boundaries can remain constrained.</w:t>
      </w:r>
    </w:p>
    <w:p>
      <w:pPr>
        <w:pStyle w:val="ListBullet"/>
      </w:pPr>
      <w:r>
        <w:t>Cassandra becomes stronger for extremely high write throughput and availability-oriented workloads where relational transaction semantics are not central.</w:t>
      </w:r>
    </w:p>
    <w:p>
      <w:pPr>
        <w:pStyle w:val="Heading1"/>
      </w:pPr>
      <w:r>
        <w:t>4. Lab 3C — Completed ADR</w:t>
      </w:r>
    </w:p>
    <w:p>
      <w:pPr>
        <w:pStyle w:val="Heading2"/>
      </w:pPr>
      <w:r>
        <w:t>ADR-001 — Hybrid Product Search</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Pr>
                <w:b/>
                <w:color w:val="FFFFFF"/>
              </w:rPr>
              <w:t>Field</w:t>
            </w:r>
          </w:p>
        </w:tc>
        <w:tc>
          <w:tcPr>
            <w:tcW w:type="dxa" w:w="5184"/>
            <w:shd w:fill="1F4E79"/>
          </w:tcPr>
          <w:p>
            <w:r>
              <w:rPr>
                <w:b/>
                <w:color w:val="FFFFFF"/>
              </w:rPr>
              <w:t>Model answer</w:t>
            </w:r>
          </w:p>
        </w:tc>
      </w:tr>
      <w:tr>
        <w:tc>
          <w:tcPr>
            <w:tcW w:type="dxa" w:w="5184"/>
            <w:vAlign w:val="center"/>
          </w:tcPr>
          <w:p>
            <w:r>
              <w:rPr>
                <w:sz w:val="16"/>
              </w:rPr>
              <w:t>Status</w:t>
            </w:r>
          </w:p>
        </w:tc>
        <w:tc>
          <w:tcPr>
            <w:tcW w:type="dxa" w:w="5184"/>
            <w:vAlign w:val="center"/>
          </w:tcPr>
          <w:p>
            <w:r>
              <w:rPr>
                <w:sz w:val="16"/>
              </w:rPr>
              <w:t>Accepted for reference implementation</w:t>
            </w:r>
          </w:p>
        </w:tc>
      </w:tr>
      <w:tr>
        <w:tc>
          <w:tcPr>
            <w:tcW w:type="dxa" w:w="5184"/>
            <w:vAlign w:val="center"/>
          </w:tcPr>
          <w:p>
            <w:r>
              <w:rPr>
                <w:sz w:val="16"/>
              </w:rPr>
              <w:t>Context</w:t>
            </w:r>
          </w:p>
        </w:tc>
        <w:tc>
          <w:tcPr>
            <w:tcW w:type="dxa" w:w="5184"/>
            <w:vAlign w:val="center"/>
          </w:tcPr>
          <w:p>
            <w:r>
              <w:rPr>
                <w:sz w:val="16"/>
              </w:rPr>
              <w:t>ShopSmart must search 50M products using exact lexical terms, semantic intent, and personalization while targeting P95 &lt; 300 ms.</w:t>
            </w:r>
          </w:p>
        </w:tc>
      </w:tr>
      <w:tr>
        <w:tc>
          <w:tcPr>
            <w:tcW w:type="dxa" w:w="5184"/>
            <w:vAlign w:val="center"/>
          </w:tcPr>
          <w:p>
            <w:r>
              <w:rPr>
                <w:sz w:val="16"/>
              </w:rPr>
              <w:t>Architecture drivers</w:t>
            </w:r>
          </w:p>
        </w:tc>
        <w:tc>
          <w:tcPr>
            <w:tcW w:type="dxa" w:w="5184"/>
            <w:vAlign w:val="center"/>
          </w:tcPr>
          <w:p>
            <w:r>
              <w:rPr>
                <w:sz w:val="16"/>
              </w:rPr>
              <w:t>Relevance, latency, freshness, catalog scale, explainability, operability, cost, personalization.</w:t>
            </w:r>
          </w:p>
        </w:tc>
      </w:tr>
      <w:tr>
        <w:tc>
          <w:tcPr>
            <w:tcW w:type="dxa" w:w="5184"/>
            <w:vAlign w:val="center"/>
          </w:tcPr>
          <w:p>
            <w:r>
              <w:rPr>
                <w:sz w:val="16"/>
              </w:rPr>
              <w:t>Options</w:t>
            </w:r>
          </w:p>
        </w:tc>
        <w:tc>
          <w:tcPr>
            <w:tcW w:type="dxa" w:w="5184"/>
            <w:vAlign w:val="center"/>
          </w:tcPr>
          <w:p>
            <w:r>
              <w:rPr>
                <w:sz w:val="16"/>
              </w:rPr>
              <w:t>BM25 only; vector only; BM25 + vector; graph + hybrid; hybrid + reranker.</w:t>
            </w:r>
          </w:p>
        </w:tc>
      </w:tr>
      <w:tr>
        <w:tc>
          <w:tcPr>
            <w:tcW w:type="dxa" w:w="5184"/>
            <w:vAlign w:val="center"/>
          </w:tcPr>
          <w:p>
            <w:r>
              <w:rPr>
                <w:sz w:val="16"/>
              </w:rPr>
              <w:t>Decision</w:t>
            </w:r>
          </w:p>
        </w:tc>
        <w:tc>
          <w:tcPr>
            <w:tcW w:type="dxa" w:w="5184"/>
            <w:vAlign w:val="center"/>
          </w:tcPr>
          <w:p>
            <w:r>
              <w:rPr>
                <w:sz w:val="16"/>
              </w:rPr>
              <w:t>Use parallel BM25 and vector retrieval, merge/deduplicate candidates, then apply lightweight ranking. Add expensive reranking selectively after benchmark evidence.</w:t>
            </w:r>
          </w:p>
        </w:tc>
      </w:tr>
      <w:tr>
        <w:tc>
          <w:tcPr>
            <w:tcW w:type="dxa" w:w="5184"/>
            <w:vAlign w:val="center"/>
          </w:tcPr>
          <w:p>
            <w:r>
              <w:rPr>
                <w:sz w:val="16"/>
              </w:rPr>
              <w:t>Rationale</w:t>
            </w:r>
          </w:p>
        </w:tc>
        <w:tc>
          <w:tcPr>
            <w:tcW w:type="dxa" w:w="5184"/>
            <w:vAlign w:val="center"/>
          </w:tcPr>
          <w:p>
            <w:r>
              <w:rPr>
                <w:sz w:val="16"/>
              </w:rPr>
              <w:t>Balances exact match and semantic recall while keeping first-release complexity lower than graph or universal reranking.</w:t>
            </w:r>
          </w:p>
        </w:tc>
      </w:tr>
      <w:tr>
        <w:tc>
          <w:tcPr>
            <w:tcW w:type="dxa" w:w="5184"/>
            <w:vAlign w:val="center"/>
          </w:tcPr>
          <w:p>
            <w:r>
              <w:rPr>
                <w:sz w:val="16"/>
              </w:rPr>
              <w:t>Positive consequences</w:t>
            </w:r>
          </w:p>
        </w:tc>
        <w:tc>
          <w:tcPr>
            <w:tcW w:type="dxa" w:w="5184"/>
            <w:vAlign w:val="center"/>
          </w:tcPr>
          <w:p>
            <w:r>
              <w:rPr>
                <w:sz w:val="16"/>
              </w:rPr>
              <w:t>Better recall; resilient dual retrieval; supports personalization/ranking evolution.</w:t>
            </w:r>
          </w:p>
        </w:tc>
      </w:tr>
      <w:tr>
        <w:tc>
          <w:tcPr>
            <w:tcW w:type="dxa" w:w="5184"/>
            <w:vAlign w:val="center"/>
          </w:tcPr>
          <w:p>
            <w:r>
              <w:rPr>
                <w:sz w:val="16"/>
              </w:rPr>
              <w:t>Negative consequences</w:t>
            </w:r>
          </w:p>
        </w:tc>
        <w:tc>
          <w:tcPr>
            <w:tcW w:type="dxa" w:w="5184"/>
            <w:vAlign w:val="center"/>
          </w:tcPr>
          <w:p>
            <w:r>
              <w:rPr>
                <w:sz w:val="16"/>
              </w:rPr>
              <w:t>Two indexes; candidate merging; more tuning; additional observability and cost.</w:t>
            </w:r>
          </w:p>
        </w:tc>
      </w:tr>
      <w:tr>
        <w:tc>
          <w:tcPr>
            <w:tcW w:type="dxa" w:w="5184"/>
            <w:vAlign w:val="center"/>
          </w:tcPr>
          <w:p>
            <w:r>
              <w:rPr>
                <w:sz w:val="16"/>
              </w:rPr>
              <w:t>Risks</w:t>
            </w:r>
          </w:p>
        </w:tc>
        <w:tc>
          <w:tcPr>
            <w:tcW w:type="dxa" w:w="5184"/>
            <w:vAlign w:val="center"/>
          </w:tcPr>
          <w:p>
            <w:r>
              <w:rPr>
                <w:sz w:val="16"/>
              </w:rPr>
              <w:t>Latency creep, stale indexes, inconsistent metadata filters, vector cost, ranking regressions.</w:t>
            </w:r>
          </w:p>
        </w:tc>
      </w:tr>
      <w:tr>
        <w:tc>
          <w:tcPr>
            <w:tcW w:type="dxa" w:w="5184"/>
            <w:vAlign w:val="center"/>
          </w:tcPr>
          <w:p>
            <w:r>
              <w:rPr>
                <w:sz w:val="16"/>
              </w:rPr>
              <w:t>Rollback</w:t>
            </w:r>
          </w:p>
        </w:tc>
        <w:tc>
          <w:tcPr>
            <w:tcW w:type="dxa" w:w="5184"/>
            <w:vAlign w:val="center"/>
          </w:tcPr>
          <w:p>
            <w:r>
              <w:rPr>
                <w:sz w:val="16"/>
              </w:rPr>
              <w:t>Feature flag semantic retrieval; fall back to BM25-only; retain lexical index as independently viable path.</w:t>
            </w:r>
          </w:p>
        </w:tc>
      </w:tr>
      <w:tr>
        <w:tc>
          <w:tcPr>
            <w:tcW w:type="dxa" w:w="5184"/>
            <w:vAlign w:val="center"/>
          </w:tcPr>
          <w:p>
            <w:r>
              <w:rPr>
                <w:sz w:val="16"/>
              </w:rPr>
              <w:t>Metrics</w:t>
            </w:r>
          </w:p>
        </w:tc>
        <w:tc>
          <w:tcPr>
            <w:tcW w:type="dxa" w:w="5184"/>
            <w:vAlign w:val="center"/>
          </w:tcPr>
          <w:p>
            <w:r>
              <w:rPr>
                <w:sz w:val="16"/>
              </w:rPr>
              <w:t>P50/P95/P99 latency, NDCG/MRR, zero-result rate, click/conversion lift, index freshness lag, cost/query, retrieval error rate.</w:t>
            </w:r>
          </w:p>
        </w:tc>
      </w:tr>
      <w:tr>
        <w:tc>
          <w:tcPr>
            <w:tcW w:type="dxa" w:w="5184"/>
            <w:vAlign w:val="center"/>
          </w:tcPr>
          <w:p>
            <w:r>
              <w:rPr>
                <w:sz w:val="16"/>
              </w:rPr>
              <w:t>Revisit trigger</w:t>
            </w:r>
          </w:p>
        </w:tc>
        <w:tc>
          <w:tcPr>
            <w:tcW w:type="dxa" w:w="5184"/>
            <w:vAlign w:val="center"/>
          </w:tcPr>
          <w:p>
            <w:r>
              <w:rPr>
                <w:sz w:val="16"/>
              </w:rPr>
              <w:t>Hybrid fails to deliver meaningful relevance/conversion lift, P95 cannot stay within budget, or reranking shows large measured value worth the additional cost.</w:t>
            </w:r>
          </w:p>
        </w:tc>
      </w:tr>
    </w:tbl>
    <w:p>
      <w:pPr>
        <w:pStyle w:val="Heading2"/>
      </w:pPr>
      <w:r>
        <w:t>Implementation guidance for Act 4</w:t>
      </w:r>
    </w:p>
    <w:p>
      <w:pPr>
        <w:pStyle w:val="ListBullet"/>
      </w:pPr>
      <w:r>
        <w:t>Do not bypass the Search Orchestrator when adding new retrieval paths.</w:t>
      </w:r>
    </w:p>
    <w:p>
      <w:pPr>
        <w:pStyle w:val="ListBullet"/>
      </w:pPr>
      <w:r>
        <w:t>BM25 and vector retrieval must remain independently testable and independently degradable.</w:t>
      </w:r>
    </w:p>
    <w:p>
      <w:pPr>
        <w:pStyle w:val="ListBullet"/>
      </w:pPr>
      <w:r>
        <w:t>All ranking changes require an offline relevance test set and regression comparison.</w:t>
      </w:r>
    </w:p>
    <w:p>
      <w:pPr>
        <w:pStyle w:val="ListBullet"/>
      </w:pPr>
      <w:r>
        <w:t>Do not add graph retrieval or an external reranker without an ADR update and explicit latency/cost evidence.</w:t>
      </w:r>
    </w:p>
    <w:p>
      <w:pPr>
        <w:pStyle w:val="ListBullet"/>
      </w:pPr>
      <w:r>
        <w:t>Search changes must expose latency per stage, candidate counts, errors, and fallback use.</w:t>
      </w:r>
    </w:p>
    <w:tbl>
      <w:tblPr>
        <w:tblStyle w:val="TableGrid"/>
        <w:tblW w:type="auto" w:w="0"/>
        <w:tblLook w:firstColumn="1" w:firstRow="1" w:lastColumn="0" w:lastRow="0" w:noHBand="0" w:noVBand="1" w:val="04A0"/>
      </w:tblPr>
      <w:tblGrid>
        <w:gridCol w:w="10368"/>
      </w:tblGrid>
      <w:tr>
        <w:tc>
          <w:tcPr>
            <w:tcW w:type="dxa" w:w="10368"/>
            <w:shd w:fill="EAF2F8"/>
          </w:tcPr>
          <w:p>
            <w:r>
              <w:rPr>
                <w:b/>
                <w:color w:val="1F4E79"/>
              </w:rPr>
              <w:t xml:space="preserve">Architect takeaway: </w:t>
            </w:r>
            <w:r>
              <w:t>These rules are the bridge into CLAUDE.md, tests, and quality gates in Act 4.</w:t>
            </w:r>
          </w:p>
        </w:tc>
      </w:tr>
    </w:tbl>
    <w:p/>
    <w:p>
      <w:pPr>
        <w:pStyle w:val="Heading1"/>
      </w:pPr>
      <w:r>
        <w:t>5. Lab 3D — Adversarial ADR Review</w:t>
      </w:r>
    </w:p>
    <w:p>
      <w:r>
        <w:t>Architecture Review Board challenge: reject the ADR unless evidence is sufficient.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Challenge</w:t>
            </w:r>
          </w:p>
        </w:tc>
        <w:tc>
          <w:tcPr>
            <w:tcW w:type="dxa" w:w="3456"/>
            <w:shd w:fill="1F4E79"/>
          </w:tcPr>
          <w:p>
            <w:r>
              <w:rPr>
                <w:b/>
                <w:color w:val="FFFFFF"/>
              </w:rPr>
              <w:t>Finding</w:t>
            </w:r>
          </w:p>
        </w:tc>
        <w:tc>
          <w:tcPr>
            <w:tcW w:type="dxa" w:w="3456"/>
            <w:shd w:fill="1F4E79"/>
          </w:tcPr>
          <w:p>
            <w:r>
              <w:rPr>
                <w:b/>
                <w:color w:val="FFFFFF"/>
              </w:rPr>
              <w:t>Required improvement</w:t>
            </w:r>
          </w:p>
        </w:tc>
      </w:tr>
      <w:tr>
        <w:tc>
          <w:tcPr>
            <w:tcW w:type="dxa" w:w="3456"/>
            <w:vAlign w:val="center"/>
          </w:tcPr>
          <w:p>
            <w:r>
              <w:rPr>
                <w:sz w:val="16"/>
              </w:rPr>
              <w:t>“300 ms” has no stage budget</w:t>
            </w:r>
          </w:p>
        </w:tc>
        <w:tc>
          <w:tcPr>
            <w:tcW w:type="dxa" w:w="3456"/>
            <w:vAlign w:val="center"/>
          </w:tcPr>
          <w:p>
            <w:r>
              <w:rPr>
                <w:sz w:val="16"/>
              </w:rPr>
              <w:t>End-to-end target is not decomposed</w:t>
            </w:r>
          </w:p>
        </w:tc>
        <w:tc>
          <w:tcPr>
            <w:tcW w:type="dxa" w:w="3456"/>
            <w:vAlign w:val="center"/>
          </w:tcPr>
          <w:p>
            <w:r>
              <w:rPr>
                <w:sz w:val="16"/>
              </w:rPr>
              <w:t>Allocate retrieval/merge/rank/network budgets and test them</w:t>
            </w:r>
          </w:p>
        </w:tc>
      </w:tr>
      <w:tr>
        <w:tc>
          <w:tcPr>
            <w:tcW w:type="dxa" w:w="3456"/>
            <w:vAlign w:val="center"/>
          </w:tcPr>
          <w:p>
            <w:r>
              <w:rPr>
                <w:sz w:val="16"/>
              </w:rPr>
              <w:t>Relevance scores are inferred</w:t>
            </w:r>
          </w:p>
        </w:tc>
        <w:tc>
          <w:tcPr>
            <w:tcW w:type="dxa" w:w="3456"/>
            <w:vAlign w:val="center"/>
          </w:tcPr>
          <w:p>
            <w:r>
              <w:rPr>
                <w:sz w:val="16"/>
              </w:rPr>
              <w:t>No benchmark proves the selected option</w:t>
            </w:r>
          </w:p>
        </w:tc>
        <w:tc>
          <w:tcPr>
            <w:tcW w:type="dxa" w:w="3456"/>
            <w:vAlign w:val="center"/>
          </w:tcPr>
          <w:p>
            <w:r>
              <w:rPr>
                <w:sz w:val="16"/>
              </w:rPr>
              <w:t>Create judged query set and run offline + online experiments</w:t>
            </w:r>
          </w:p>
        </w:tc>
      </w:tr>
      <w:tr>
        <w:tc>
          <w:tcPr>
            <w:tcW w:type="dxa" w:w="3456"/>
            <w:vAlign w:val="center"/>
          </w:tcPr>
          <w:p>
            <w:r>
              <w:rPr>
                <w:sz w:val="16"/>
              </w:rPr>
              <w:t>Freshness is vague</w:t>
            </w:r>
          </w:p>
        </w:tc>
        <w:tc>
          <w:tcPr>
            <w:tcW w:type="dxa" w:w="3456"/>
            <w:vAlign w:val="center"/>
          </w:tcPr>
          <w:p>
            <w:r>
              <w:rPr>
                <w:sz w:val="16"/>
              </w:rPr>
              <w:t>No update visibility SLO</w:t>
            </w:r>
          </w:p>
        </w:tc>
        <w:tc>
          <w:tcPr>
            <w:tcW w:type="dxa" w:w="3456"/>
            <w:vAlign w:val="center"/>
          </w:tcPr>
          <w:p>
            <w:r>
              <w:rPr>
                <w:sz w:val="16"/>
              </w:rPr>
              <w:t>Define index freshness target and instrumentation</w:t>
            </w:r>
          </w:p>
        </w:tc>
      </w:tr>
      <w:tr>
        <w:tc>
          <w:tcPr>
            <w:tcW w:type="dxa" w:w="3456"/>
            <w:vAlign w:val="center"/>
          </w:tcPr>
          <w:p>
            <w:r>
              <w:rPr>
                <w:sz w:val="16"/>
              </w:rPr>
              <w:t>Fallback behavior is missing</w:t>
            </w:r>
          </w:p>
        </w:tc>
        <w:tc>
          <w:tcPr>
            <w:tcW w:type="dxa" w:w="3456"/>
            <w:vAlign w:val="center"/>
          </w:tcPr>
          <w:p>
            <w:r>
              <w:rPr>
                <w:sz w:val="16"/>
              </w:rPr>
              <w:t>Hybrid path may fail partially</w:t>
            </w:r>
          </w:p>
        </w:tc>
        <w:tc>
          <w:tcPr>
            <w:tcW w:type="dxa" w:w="3456"/>
            <w:vAlign w:val="center"/>
          </w:tcPr>
          <w:p>
            <w:r>
              <w:rPr>
                <w:sz w:val="16"/>
              </w:rPr>
              <w:t>Define lexical-only fallback and alerts</w:t>
            </w:r>
          </w:p>
        </w:tc>
      </w:tr>
      <w:tr>
        <w:tc>
          <w:tcPr>
            <w:tcW w:type="dxa" w:w="3456"/>
            <w:vAlign w:val="center"/>
          </w:tcPr>
          <w:p>
            <w:r>
              <w:rPr>
                <w:sz w:val="16"/>
              </w:rPr>
              <w:t>Personalization has privacy implications</w:t>
            </w:r>
          </w:p>
        </w:tc>
        <w:tc>
          <w:tcPr>
            <w:tcW w:type="dxa" w:w="3456"/>
            <w:vAlign w:val="center"/>
          </w:tcPr>
          <w:p>
            <w:r>
              <w:rPr>
                <w:sz w:val="16"/>
              </w:rPr>
              <w:t>Context features not bounded</w:t>
            </w:r>
          </w:p>
        </w:tc>
        <w:tc>
          <w:tcPr>
            <w:tcW w:type="dxa" w:w="3456"/>
            <w:vAlign w:val="center"/>
          </w:tcPr>
          <w:p>
            <w:r>
              <w:rPr>
                <w:sz w:val="16"/>
              </w:rPr>
              <w:t>Define allowed features, retention, and user/privacy constraints</w:t>
            </w:r>
          </w:p>
        </w:tc>
      </w:tr>
      <w:tr>
        <w:tc>
          <w:tcPr>
            <w:tcW w:type="dxa" w:w="3456"/>
            <w:vAlign w:val="center"/>
          </w:tcPr>
          <w:p>
            <w:r>
              <w:rPr>
                <w:sz w:val="16"/>
              </w:rPr>
              <w:t>Rollback exists but is not rehearsed</w:t>
            </w:r>
          </w:p>
        </w:tc>
        <w:tc>
          <w:tcPr>
            <w:tcW w:type="dxa" w:w="3456"/>
            <w:vAlign w:val="center"/>
          </w:tcPr>
          <w:p>
            <w:r>
              <w:rPr>
                <w:sz w:val="16"/>
              </w:rPr>
              <w:t>Feature flag alone is not proof</w:t>
            </w:r>
          </w:p>
        </w:tc>
        <w:tc>
          <w:tcPr>
            <w:tcW w:type="dxa" w:w="3456"/>
            <w:vAlign w:val="center"/>
          </w:tcPr>
          <w:p>
            <w:r>
              <w:rPr>
                <w:sz w:val="16"/>
              </w:rPr>
              <w:t>Run fallback drill and validate degraded capacity</w:t>
            </w:r>
          </w:p>
        </w:tc>
      </w:tr>
      <w:tr>
        <w:tc>
          <w:tcPr>
            <w:tcW w:type="dxa" w:w="3456"/>
            <w:vAlign w:val="center"/>
          </w:tcPr>
          <w:p>
            <w:r>
              <w:rPr>
                <w:sz w:val="16"/>
              </w:rPr>
              <w:t>Cost/query is not bounded</w:t>
            </w:r>
          </w:p>
        </w:tc>
        <w:tc>
          <w:tcPr>
            <w:tcW w:type="dxa" w:w="3456"/>
            <w:vAlign w:val="center"/>
          </w:tcPr>
          <w:p>
            <w:r>
              <w:rPr>
                <w:sz w:val="16"/>
              </w:rPr>
              <w:t>Reranking/vector cost may grow</w:t>
            </w:r>
          </w:p>
        </w:tc>
        <w:tc>
          <w:tcPr>
            <w:tcW w:type="dxa" w:w="3456"/>
            <w:vAlign w:val="center"/>
          </w:tcPr>
          <w:p>
            <w:r>
              <w:rPr>
                <w:sz w:val="16"/>
              </w:rPr>
              <w:t>Set budget and monitor cost/query</w:t>
            </w:r>
          </w:p>
        </w:tc>
      </w:tr>
    </w:tbl>
    <w:p>
      <w:pPr>
        <w:pStyle w:val="Heading2"/>
      </w:pPr>
      <w:r>
        <w:t>Revised ADR conclusion</w:t>
      </w:r>
    </w:p>
    <w:p>
      <w:r>
        <w:t>Accept the hybrid architecture conditionally for the first production release, contingent on benchmark evidence, a stage-level latency budget, explicit freshness SLOs, fallback tests, and measurable cost/query. The ADR is a controlled commitment, not a permanent truth.</w:t>
      </w:r>
    </w:p>
    <w:p>
      <w:pPr>
        <w:pStyle w:val="Heading1"/>
      </w:pPr>
      <w:r>
        <w:t>6. Architect best-answer pattern for AI-assisted decisions</w:t>
      </w:r>
    </w:p>
    <w:p>
      <w:pPr>
        <w:pStyle w:val="ListNumber"/>
      </w:pPr>
      <w:r>
        <w:t>State the decision question in one sentence.</w:t>
      </w:r>
    </w:p>
    <w:p>
      <w:pPr>
        <w:pStyle w:val="ListNumber"/>
      </w:pPr>
      <w:r>
        <w:t>Extract architecture drivers before naming products or technologies.</w:t>
      </w:r>
    </w:p>
    <w:p>
      <w:pPr>
        <w:pStyle w:val="ListNumber"/>
      </w:pPr>
      <w:r>
        <w:t>Define criteria and weights; explain why each weight exists.</w:t>
      </w:r>
    </w:p>
    <w:p>
      <w:pPr>
        <w:pStyle w:val="ListNumber"/>
      </w:pPr>
      <w:r>
        <w:t>Score alternatives, but label subjective scores and assumptions.</w:t>
      </w:r>
    </w:p>
    <w:p>
      <w:pPr>
        <w:pStyle w:val="ListNumber"/>
      </w:pPr>
      <w:r>
        <w:t>Ask what evidence would change the ranking.</w:t>
      </w:r>
    </w:p>
    <w:p>
      <w:pPr>
        <w:pStyle w:val="ListNumber"/>
      </w:pPr>
      <w:r>
        <w:t>Run sensitivity analysis on the most influential weights/scores.</w:t>
      </w:r>
    </w:p>
    <w:p>
      <w:pPr>
        <w:pStyle w:val="ListNumber"/>
      </w:pPr>
      <w:r>
        <w:t>Make a decision with consequences, risks, rollback, and validation metrics.</w:t>
      </w:r>
    </w:p>
    <w:p>
      <w:pPr>
        <w:pStyle w:val="ListNumber"/>
      </w:pPr>
      <w:r>
        <w:t>Define a revisit trigger so the decision can evolve with evidence.</w:t>
      </w:r>
    </w:p>
    <w:p>
      <w:pPr>
        <w:pStyle w:val="ListNumber"/>
      </w:pPr>
      <w:r>
        <w:t>Translate the ADR into repository guidance, tests, and approval gates.</w:t>
      </w:r>
    </w:p>
    <w:p>
      <w:pPr>
        <w:pStyle w:val="Heading1"/>
      </w:pPr>
      <w:r>
        <w:t>7. Suggested scoring rubric</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Dimension</w:t>
            </w:r>
          </w:p>
        </w:tc>
        <w:tc>
          <w:tcPr>
            <w:tcW w:type="dxa" w:w="3456"/>
            <w:shd w:fill="1F4E79"/>
          </w:tcPr>
          <w:p>
            <w:r>
              <w:rPr>
                <w:b/>
                <w:color w:val="FFFFFF"/>
              </w:rPr>
              <w:t>Excellent</w:t>
            </w:r>
          </w:p>
        </w:tc>
        <w:tc>
          <w:tcPr>
            <w:tcW w:type="dxa" w:w="3456"/>
            <w:shd w:fill="1F4E79"/>
          </w:tcPr>
          <w:p>
            <w:r>
              <w:rPr>
                <w:b/>
                <w:color w:val="FFFFFF"/>
              </w:rPr>
              <w:t>Needs improvement</w:t>
            </w:r>
          </w:p>
        </w:tc>
      </w:tr>
      <w:tr>
        <w:tc>
          <w:tcPr>
            <w:tcW w:type="dxa" w:w="3456"/>
            <w:vAlign w:val="center"/>
          </w:tcPr>
          <w:p>
            <w:r>
              <w:rPr>
                <w:sz w:val="16"/>
              </w:rPr>
              <w:t>Decision framing</w:t>
            </w:r>
          </w:p>
        </w:tc>
        <w:tc>
          <w:tcPr>
            <w:tcW w:type="dxa" w:w="3456"/>
            <w:vAlign w:val="center"/>
          </w:tcPr>
          <w:p>
            <w:r>
              <w:rPr>
                <w:sz w:val="16"/>
              </w:rPr>
              <w:t>Clear decision question and architecture drivers</w:t>
            </w:r>
          </w:p>
        </w:tc>
        <w:tc>
          <w:tcPr>
            <w:tcW w:type="dxa" w:w="3456"/>
            <w:vAlign w:val="center"/>
          </w:tcPr>
          <w:p>
            <w:r>
              <w:rPr>
                <w:sz w:val="16"/>
              </w:rPr>
              <w:t>Starts with a favored technology</w:t>
            </w:r>
          </w:p>
        </w:tc>
      </w:tr>
      <w:tr>
        <w:tc>
          <w:tcPr>
            <w:tcW w:type="dxa" w:w="3456"/>
            <w:vAlign w:val="center"/>
          </w:tcPr>
          <w:p>
            <w:r>
              <w:rPr>
                <w:sz w:val="16"/>
              </w:rPr>
              <w:t>Criteria/weights</w:t>
            </w:r>
          </w:p>
        </w:tc>
        <w:tc>
          <w:tcPr>
            <w:tcW w:type="dxa" w:w="3456"/>
            <w:vAlign w:val="center"/>
          </w:tcPr>
          <w:p>
            <w:r>
              <w:rPr>
                <w:sz w:val="16"/>
              </w:rPr>
              <w:t>Explicit, justified, tied to requirements</w:t>
            </w:r>
          </w:p>
        </w:tc>
        <w:tc>
          <w:tcPr>
            <w:tcW w:type="dxa" w:w="3456"/>
            <w:vAlign w:val="center"/>
          </w:tcPr>
          <w:p>
            <w:r>
              <w:rPr>
                <w:sz w:val="16"/>
              </w:rPr>
              <w:t>Arbitrary or unexplained</w:t>
            </w:r>
          </w:p>
        </w:tc>
      </w:tr>
      <w:tr>
        <w:tc>
          <w:tcPr>
            <w:tcW w:type="dxa" w:w="3456"/>
            <w:vAlign w:val="center"/>
          </w:tcPr>
          <w:p>
            <w:r>
              <w:rPr>
                <w:sz w:val="16"/>
              </w:rPr>
              <w:t>Evidence discipline</w:t>
            </w:r>
          </w:p>
        </w:tc>
        <w:tc>
          <w:tcPr>
            <w:tcW w:type="dxa" w:w="3456"/>
            <w:vAlign w:val="center"/>
          </w:tcPr>
          <w:p>
            <w:r>
              <w:rPr>
                <w:sz w:val="16"/>
              </w:rPr>
              <w:t>Separates facts, assumptions, and validation needs</w:t>
            </w:r>
          </w:p>
        </w:tc>
        <w:tc>
          <w:tcPr>
            <w:tcW w:type="dxa" w:w="3456"/>
            <w:vAlign w:val="center"/>
          </w:tcPr>
          <w:p>
            <w:r>
              <w:rPr>
                <w:sz w:val="16"/>
              </w:rPr>
              <w:t>Treats AI scores as proof</w:t>
            </w:r>
          </w:p>
        </w:tc>
      </w:tr>
      <w:tr>
        <w:tc>
          <w:tcPr>
            <w:tcW w:type="dxa" w:w="3456"/>
            <w:vAlign w:val="center"/>
          </w:tcPr>
          <w:p>
            <w:r>
              <w:rPr>
                <w:sz w:val="16"/>
              </w:rPr>
              <w:t>Trade-offs</w:t>
            </w:r>
          </w:p>
        </w:tc>
        <w:tc>
          <w:tcPr>
            <w:tcW w:type="dxa" w:w="3456"/>
            <w:vAlign w:val="center"/>
          </w:tcPr>
          <w:p>
            <w:r>
              <w:rPr>
                <w:sz w:val="16"/>
              </w:rPr>
              <w:t>Names consequences and accepted downsides</w:t>
            </w:r>
          </w:p>
        </w:tc>
        <w:tc>
          <w:tcPr>
            <w:tcW w:type="dxa" w:w="3456"/>
            <w:vAlign w:val="center"/>
          </w:tcPr>
          <w:p>
            <w:r>
              <w:rPr>
                <w:sz w:val="16"/>
              </w:rPr>
              <w:t>Only lists benefits</w:t>
            </w:r>
          </w:p>
        </w:tc>
      </w:tr>
      <w:tr>
        <w:tc>
          <w:tcPr>
            <w:tcW w:type="dxa" w:w="3456"/>
            <w:vAlign w:val="center"/>
          </w:tcPr>
          <w:p>
            <w:r>
              <w:rPr>
                <w:sz w:val="16"/>
              </w:rPr>
              <w:t>Reversibility</w:t>
            </w:r>
          </w:p>
        </w:tc>
        <w:tc>
          <w:tcPr>
            <w:tcW w:type="dxa" w:w="3456"/>
            <w:vAlign w:val="center"/>
          </w:tcPr>
          <w:p>
            <w:r>
              <w:rPr>
                <w:sz w:val="16"/>
              </w:rPr>
              <w:t>Rollback/migration strategy is practical</w:t>
            </w:r>
          </w:p>
        </w:tc>
        <w:tc>
          <w:tcPr>
            <w:tcW w:type="dxa" w:w="3456"/>
            <w:vAlign w:val="center"/>
          </w:tcPr>
          <w:p>
            <w:r>
              <w:rPr>
                <w:sz w:val="16"/>
              </w:rPr>
              <w:t>No way back</w:t>
            </w:r>
          </w:p>
        </w:tc>
      </w:tr>
      <w:tr>
        <w:tc>
          <w:tcPr>
            <w:tcW w:type="dxa" w:w="3456"/>
            <w:vAlign w:val="center"/>
          </w:tcPr>
          <w:p>
            <w:r>
              <w:rPr>
                <w:sz w:val="16"/>
              </w:rPr>
              <w:t>Validation</w:t>
            </w:r>
          </w:p>
        </w:tc>
        <w:tc>
          <w:tcPr>
            <w:tcW w:type="dxa" w:w="3456"/>
            <w:vAlign w:val="center"/>
          </w:tcPr>
          <w:p>
            <w:r>
              <w:rPr>
                <w:sz w:val="16"/>
              </w:rPr>
              <w:t>Metrics and benchmark plan are specific</w:t>
            </w:r>
          </w:p>
        </w:tc>
        <w:tc>
          <w:tcPr>
            <w:tcW w:type="dxa" w:w="3456"/>
            <w:vAlign w:val="center"/>
          </w:tcPr>
          <w:p>
            <w:r>
              <w:rPr>
                <w:sz w:val="16"/>
              </w:rPr>
              <w:t>“Monitor performance”</w:t>
            </w:r>
          </w:p>
        </w:tc>
      </w:tr>
      <w:tr>
        <w:tc>
          <w:tcPr>
            <w:tcW w:type="dxa" w:w="3456"/>
            <w:vAlign w:val="center"/>
          </w:tcPr>
          <w:p>
            <w:r>
              <w:rPr>
                <w:sz w:val="16"/>
              </w:rPr>
              <w:t>Revisit trigger</w:t>
            </w:r>
          </w:p>
        </w:tc>
        <w:tc>
          <w:tcPr>
            <w:tcW w:type="dxa" w:w="3456"/>
            <w:vAlign w:val="center"/>
          </w:tcPr>
          <w:p>
            <w:r>
              <w:rPr>
                <w:sz w:val="16"/>
              </w:rPr>
              <w:t>Concrete condition for reconsideration</w:t>
            </w:r>
          </w:p>
        </w:tc>
        <w:tc>
          <w:tcPr>
            <w:tcW w:type="dxa" w:w="3456"/>
            <w:vAlign w:val="center"/>
          </w:tcPr>
          <w:p>
            <w:r>
              <w:rPr>
                <w:sz w:val="16"/>
              </w:rPr>
              <w:t>Decision treated as permanent</w:t>
            </w:r>
          </w:p>
        </w:tc>
      </w:tr>
      <w:tr>
        <w:tc>
          <w:tcPr>
            <w:tcW w:type="dxa" w:w="3456"/>
            <w:vAlign w:val="center"/>
          </w:tcPr>
          <w:p>
            <w:r>
              <w:rPr>
                <w:sz w:val="16"/>
              </w:rPr>
              <w:t>Act 4 handoff</w:t>
            </w:r>
          </w:p>
        </w:tc>
        <w:tc>
          <w:tcPr>
            <w:tcW w:type="dxa" w:w="3456"/>
            <w:vAlign w:val="center"/>
          </w:tcPr>
          <w:p>
            <w:r>
              <w:rPr>
                <w:sz w:val="16"/>
              </w:rPr>
              <w:t>Rules can become CLAUDE.md/tests/gates</w:t>
            </w:r>
          </w:p>
        </w:tc>
        <w:tc>
          <w:tcPr>
            <w:tcW w:type="dxa" w:w="3456"/>
            <w:vAlign w:val="center"/>
          </w:tcPr>
          <w:p>
            <w:r>
              <w:rPr>
                <w:sz w:val="16"/>
              </w:rPr>
              <w:t>ADR remains passive documentation</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ChatGPT for Software Architects • Act 3 — DECIDE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B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