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 5 Best Practices — Agent Permissions, MCP Security, and Human Approval</w:t>
      </w:r>
    </w:p>
    <w:p>
      <w:r>
        <w:rPr>
          <w:i/>
          <w:sz w:val="23"/>
        </w:rPr>
        <w:t>Practical governance for tool-using coding and architecture agents</w:t>
      </w:r>
    </w:p>
    <w:p>
      <w:r>
        <w:rPr>
          <w:b/>
        </w:rPr>
        <w:t>ChatGPT for Software Architects • Act 5 — GOVERN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AEA"/>
          </w:tcPr>
          <w:p>
            <w:r>
              <w:rPr>
                <w:b/>
              </w:rPr>
              <w:t>Tool capability is not authority. Authority must be explicitly granted, bounded, auditable, and revocable.</w:t>
            </w:r>
          </w:p>
        </w:tc>
      </w:tr>
    </w:tbl>
    <w:p>
      <w:pPr>
        <w:pStyle w:val="Heading1"/>
      </w:pPr>
      <w:r>
        <w:t>1. Permission by Blast Radius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E8EEF7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360"/>
            <w:shd w:fill="E8EEF7"/>
          </w:tcPr>
          <w:p>
            <w:r>
              <w:rPr>
                <w:b/>
              </w:rPr>
              <w:t>Typical actions</w:t>
            </w:r>
          </w:p>
        </w:tc>
        <w:tc>
          <w:tcPr>
            <w:tcW w:type="dxa" w:w="3360"/>
            <w:shd w:fill="E8EEF7"/>
          </w:tcPr>
          <w:p>
            <w:r>
              <w:rPr>
                <w:b/>
              </w:rPr>
              <w:t>Default posture</w:t>
            </w:r>
          </w:p>
        </w:tc>
      </w:tr>
      <w:tr>
        <w:tc>
          <w:tcPr>
            <w:tcW w:type="dxa" w:w="3360"/>
            <w:vAlign w:val="top"/>
          </w:tcPr>
          <w:p>
            <w:r>
              <w:t>ALLOW</w:t>
            </w:r>
          </w:p>
        </w:tc>
        <w:tc>
          <w:tcPr>
            <w:tcW w:type="dxa" w:w="3360"/>
            <w:vAlign w:val="top"/>
          </w:tcPr>
          <w:p>
            <w:r>
              <w:t>Read source/docs, scoped unit tests, formatter</w:t>
            </w:r>
          </w:p>
        </w:tc>
        <w:tc>
          <w:tcPr>
            <w:tcW w:type="dxa" w:w="3360"/>
            <w:vAlign w:val="top"/>
          </w:tcPr>
          <w:p>
            <w:r>
              <w:t>Low-risk, local, reversible; log/audit appropriately.</w:t>
            </w:r>
          </w:p>
        </w:tc>
      </w:tr>
      <w:tr>
        <w:tc>
          <w:tcPr>
            <w:tcW w:type="dxa" w:w="3360"/>
            <w:vAlign w:val="top"/>
          </w:tcPr>
          <w:p>
            <w:r>
              <w:t>ASK</w:t>
            </w:r>
          </w:p>
        </w:tc>
        <w:tc>
          <w:tcPr>
            <w:tcW w:type="dxa" w:w="3360"/>
            <w:vAlign w:val="top"/>
          </w:tcPr>
          <w:p>
            <w:r>
              <w:t>Multi-file edits, shell commands, dependency installs, draft PR, migration planning</w:t>
            </w:r>
          </w:p>
        </w:tc>
        <w:tc>
          <w:tcPr>
            <w:tcW w:type="dxa" w:w="3360"/>
            <w:vAlign w:val="top"/>
          </w:tcPr>
          <w:p>
            <w:r>
              <w:t>State-changing or ambiguous; plan + approval.</w:t>
            </w:r>
          </w:p>
        </w:tc>
      </w:tr>
      <w:tr>
        <w:tc>
          <w:tcPr>
            <w:tcW w:type="dxa" w:w="3360"/>
            <w:vAlign w:val="top"/>
          </w:tcPr>
          <w:p>
            <w:r>
              <w:t>DENY / separate workflow</w:t>
            </w:r>
          </w:p>
        </w:tc>
        <w:tc>
          <w:tcPr>
            <w:tcW w:type="dxa" w:w="3360"/>
            <w:vAlign w:val="top"/>
          </w:tcPr>
          <w:p>
            <w:r>
              <w:t>Secrets, env dump, prod deploy, destructive commands, unrestricted DB writes</w:t>
            </w:r>
          </w:p>
        </w:tc>
        <w:tc>
          <w:tcPr>
            <w:tcW w:type="dxa" w:w="3360"/>
            <w:vAlign w:val="top"/>
          </w:tcPr>
          <w:p>
            <w:r>
              <w:t>High-impact/irreversible/privileged.</w:t>
            </w:r>
          </w:p>
        </w:tc>
      </w:tr>
    </w:tbl>
    <w:p>
      <w:pPr>
        <w:pStyle w:val="Heading1"/>
      </w:pPr>
      <w:r>
        <w:t>2. Evaluate Every Agent Action</w:t>
      </w:r>
    </w:p>
    <w:p>
      <w:pPr>
        <w:pStyle w:val="ListBullet"/>
      </w:pPr>
      <w:r>
        <w:t>Blast radius: what can this action affect?</w:t>
      </w:r>
    </w:p>
    <w:p>
      <w:pPr>
        <w:pStyle w:val="ListBullet"/>
      </w:pPr>
      <w:r>
        <w:t>Reversibility: can we undo it safely?</w:t>
      </w:r>
    </w:p>
    <w:p>
      <w:pPr>
        <w:pStyle w:val="ListBullet"/>
      </w:pPr>
      <w:r>
        <w:t>Data sensitivity: can the agent see/export secrets or PII?</w:t>
      </w:r>
    </w:p>
    <w:p>
      <w:pPr>
        <w:pStyle w:val="ListBullet"/>
      </w:pPr>
      <w:r>
        <w:t>Production impact: does it change running systems/data?</w:t>
      </w:r>
    </w:p>
    <w:p>
      <w:pPr>
        <w:pStyle w:val="ListBullet"/>
      </w:pPr>
      <w:r>
        <w:t>Authority: who approved this class of action?</w:t>
      </w:r>
    </w:p>
    <w:p>
      <w:pPr>
        <w:pStyle w:val="ListBullet"/>
      </w:pPr>
      <w:r>
        <w:t>Auditability: can we reconstruct what happened?</w:t>
      </w:r>
    </w:p>
    <w:p>
      <w:pPr>
        <w:pStyle w:val="Heading1"/>
      </w:pPr>
      <w:r>
        <w:t>3. MCP Tool Boundary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E8EEF7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5040"/>
            <w:shd w:fill="E8EEF7"/>
          </w:tcPr>
          <w:p>
            <w:r>
              <w:rPr>
                <w:b/>
              </w:rPr>
              <w:t>Question</w:t>
            </w:r>
          </w:p>
        </w:tc>
      </w:tr>
      <w:tr>
        <w:tc>
          <w:tcPr>
            <w:tcW w:type="dxa" w:w="5040"/>
            <w:vAlign w:val="top"/>
          </w:tcPr>
          <w:p>
            <w:r>
              <w:t>Identity</w:t>
            </w:r>
          </w:p>
        </w:tc>
        <w:tc>
          <w:tcPr>
            <w:tcW w:type="dxa" w:w="5040"/>
            <w:vAlign w:val="top"/>
          </w:tcPr>
          <w:p>
            <w:r>
              <w:t>Which service/user identity does the agent use?</w:t>
            </w:r>
          </w:p>
        </w:tc>
      </w:tr>
      <w:tr>
        <w:tc>
          <w:tcPr>
            <w:tcW w:type="dxa" w:w="5040"/>
            <w:vAlign w:val="top"/>
          </w:tcPr>
          <w:p>
            <w:r>
              <w:t>Authentication</w:t>
            </w:r>
          </w:p>
        </w:tc>
        <w:tc>
          <w:tcPr>
            <w:tcW w:type="dxa" w:w="5040"/>
            <w:vAlign w:val="top"/>
          </w:tcPr>
          <w:p>
            <w:r>
              <w:t>How are credentials supplied without exposing secrets to context?</w:t>
            </w:r>
          </w:p>
        </w:tc>
      </w:tr>
      <w:tr>
        <w:tc>
          <w:tcPr>
            <w:tcW w:type="dxa" w:w="5040"/>
            <w:vAlign w:val="top"/>
          </w:tcPr>
          <w:p>
            <w:r>
              <w:t>Authorization</w:t>
            </w:r>
          </w:p>
        </w:tc>
        <w:tc>
          <w:tcPr>
            <w:tcW w:type="dxa" w:w="5040"/>
            <w:vAlign w:val="top"/>
          </w:tcPr>
          <w:p>
            <w:r>
              <w:t>Which exact operations/resources are permitted?</w:t>
            </w:r>
          </w:p>
        </w:tc>
      </w:tr>
      <w:tr>
        <w:tc>
          <w:tcPr>
            <w:tcW w:type="dxa" w:w="5040"/>
            <w:vAlign w:val="top"/>
          </w:tcPr>
          <w:p>
            <w:r>
              <w:t>Data boundary</w:t>
            </w:r>
          </w:p>
        </w:tc>
        <w:tc>
          <w:tcPr>
            <w:tcW w:type="dxa" w:w="5040"/>
            <w:vAlign w:val="top"/>
          </w:tcPr>
          <w:p>
            <w:r>
              <w:t>Which rows, fields, repos, projects, time windows?</w:t>
            </w:r>
          </w:p>
        </w:tc>
      </w:tr>
      <w:tr>
        <w:tc>
          <w:tcPr>
            <w:tcW w:type="dxa" w:w="5040"/>
            <w:vAlign w:val="top"/>
          </w:tcPr>
          <w:p>
            <w:r>
              <w:t>Rate/timeout</w:t>
            </w:r>
          </w:p>
        </w:tc>
        <w:tc>
          <w:tcPr>
            <w:tcW w:type="dxa" w:w="5040"/>
            <w:vAlign w:val="top"/>
          </w:tcPr>
          <w:p>
            <w:r>
              <w:t>How is runaway tool use bounded?</w:t>
            </w:r>
          </w:p>
        </w:tc>
      </w:tr>
      <w:tr>
        <w:tc>
          <w:tcPr>
            <w:tcW w:type="dxa" w:w="5040"/>
            <w:vAlign w:val="top"/>
          </w:tcPr>
          <w:p>
            <w:r>
              <w:t>Idempotency</w:t>
            </w:r>
          </w:p>
        </w:tc>
        <w:tc>
          <w:tcPr>
            <w:tcW w:type="dxa" w:w="5040"/>
            <w:vAlign w:val="top"/>
          </w:tcPr>
          <w:p>
            <w:r>
              <w:t>Can repeated calls cause duplicate side effects?</w:t>
            </w:r>
          </w:p>
        </w:tc>
      </w:tr>
      <w:tr>
        <w:tc>
          <w:tcPr>
            <w:tcW w:type="dxa" w:w="5040"/>
            <w:vAlign w:val="top"/>
          </w:tcPr>
          <w:p>
            <w:r>
              <w:t>Approval</w:t>
            </w:r>
          </w:p>
        </w:tc>
        <w:tc>
          <w:tcPr>
            <w:tcW w:type="dxa" w:w="5040"/>
            <w:vAlign w:val="top"/>
          </w:tcPr>
          <w:p>
            <w:r>
              <w:t>Which calls require human confirmation?</w:t>
            </w:r>
          </w:p>
        </w:tc>
      </w:tr>
      <w:tr>
        <w:tc>
          <w:tcPr>
            <w:tcW w:type="dxa" w:w="5040"/>
            <w:vAlign w:val="top"/>
          </w:tcPr>
          <w:p>
            <w:r>
              <w:t>Audit</w:t>
            </w:r>
          </w:p>
        </w:tc>
        <w:tc>
          <w:tcPr>
            <w:tcW w:type="dxa" w:w="5040"/>
            <w:vAlign w:val="top"/>
          </w:tcPr>
          <w:p>
            <w:r>
              <w:t>What tool input/output metadata is retained?</w:t>
            </w:r>
          </w:p>
        </w:tc>
      </w:tr>
      <w:tr>
        <w:tc>
          <w:tcPr>
            <w:tcW w:type="dxa" w:w="5040"/>
            <w:vAlign w:val="top"/>
          </w:tcPr>
          <w:p>
            <w:r>
              <w:t>Revocation</w:t>
            </w:r>
          </w:p>
        </w:tc>
        <w:tc>
          <w:tcPr>
            <w:tcW w:type="dxa" w:w="5040"/>
            <w:vAlign w:val="top"/>
          </w:tcPr>
          <w:p>
            <w:r>
              <w:t>How quickly can access be disabled?</w:t>
            </w:r>
          </w:p>
        </w:tc>
      </w:tr>
    </w:tbl>
    <w:p>
      <w:pPr>
        <w:pStyle w:val="Heading1"/>
      </w:pPr>
      <w:r>
        <w:t>4. Context Is Not Authority</w:t>
      </w:r>
    </w:p>
    <w:p>
      <w:r>
        <w:rPr>
          <w:rFonts w:ascii="Consolas" w:hAnsi="Consolas"/>
          <w:sz w:val="18"/>
        </w:rPr>
        <w:t>Human-approved task / security policy</w:t>
        <w:br/>
      </w:r>
      <w:r>
        <w:rPr>
          <w:rFonts w:ascii="Consolas" w:hAnsi="Consolas"/>
          <w:sz w:val="18"/>
        </w:rPr>
        <w:t xml:space="preserve">        ↓</w:t>
        <w:br/>
      </w:r>
      <w:r>
        <w:rPr>
          <w:rFonts w:ascii="Consolas" w:hAnsi="Consolas"/>
          <w:sz w:val="18"/>
        </w:rPr>
        <w:t>Repository governance (CLAUDE.md, ADRs, permissions)</w:t>
        <w:br/>
      </w:r>
      <w:r>
        <w:rPr>
          <w:rFonts w:ascii="Consolas" w:hAnsi="Consolas"/>
          <w:sz w:val="18"/>
        </w:rPr>
        <w:t xml:space="preserve">        ↓</w:t>
        <w:br/>
      </w:r>
      <w:r>
        <w:rPr>
          <w:rFonts w:ascii="Consolas" w:hAnsi="Consolas"/>
          <w:sz w:val="18"/>
        </w:rPr>
        <w:t>Approved workflow scope</w:t>
        <w:br/>
      </w:r>
      <w:r>
        <w:rPr>
          <w:rFonts w:ascii="Consolas" w:hAnsi="Consolas"/>
          <w:sz w:val="18"/>
        </w:rPr>
        <w:t xml:space="preserve">        ↓</w:t>
        <w:br/>
      </w:r>
      <w:r>
        <w:rPr>
          <w:rFonts w:ascii="Consolas" w:hAnsi="Consolas"/>
          <w:sz w:val="18"/>
        </w:rPr>
        <w:t>Repository/system evidence</w:t>
        <w:br/>
      </w:r>
      <w:r>
        <w:rPr>
          <w:rFonts w:ascii="Consolas" w:hAnsi="Consolas"/>
          <w:sz w:val="18"/>
        </w:rPr>
        <w:t xml:space="preserve">        ↓</w:t>
        <w:br/>
      </w:r>
      <w:r>
        <w:rPr>
          <w:rFonts w:ascii="Consolas" w:hAnsi="Consolas"/>
          <w:sz w:val="18"/>
        </w:rPr>
        <w:t>External context (tickets, logs, web, MCP results)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Lower layers may inform decisions; they may not grant new authority.</w:t>
        <w:br/>
      </w:r>
    </w:p>
    <w:p>
      <w:pPr>
        <w:pStyle w:val="Heading1"/>
      </w:pPr>
      <w:r>
        <w:t>5. Prompt Injection Controls</w:t>
      </w:r>
    </w:p>
    <w:p>
      <w:pPr>
        <w:pStyle w:val="ListBullet"/>
      </w:pPr>
      <w:r>
        <w:t>Treat tickets/logs/docs/tool results as untrusted data.</w:t>
      </w:r>
    </w:p>
    <w:p>
      <w:pPr>
        <w:pStyle w:val="ListBullet"/>
      </w:pPr>
      <w:r>
        <w:t>Never let external text expand permissions or task scope.</w:t>
      </w:r>
    </w:p>
    <w:p>
      <w:pPr>
        <w:pStyle w:val="ListBullet"/>
      </w:pPr>
      <w:r>
        <w:t>Use allowlisted tool operations and sensitive-path deny rules.</w:t>
      </w:r>
    </w:p>
    <w:p>
      <w:pPr>
        <w:pStyle w:val="ListBullet"/>
      </w:pPr>
      <w:r>
        <w:t>Require approval before risky effects even when text claims urgency.</w:t>
      </w:r>
    </w:p>
    <w:p>
      <w:pPr>
        <w:pStyle w:val="ListBullet"/>
      </w:pPr>
      <w:r>
        <w:t>Sanitize/redact retrieved data before model context.</w:t>
      </w:r>
    </w:p>
    <w:p>
      <w:pPr>
        <w:pStyle w:val="Heading1"/>
      </w:pPr>
      <w:r>
        <w:t>6. Secrets and Data Safety</w:t>
      </w:r>
    </w:p>
    <w:p>
      <w:pPr>
        <w:pStyle w:val="ListBullet"/>
      </w:pPr>
      <w:r>
        <w:t>The safest secret is the one the model never sees.</w:t>
      </w:r>
    </w:p>
    <w:p>
      <w:pPr>
        <w:pStyle w:val="ListBullet"/>
      </w:pPr>
      <w:r>
        <w:t>Deny .env, credentials files, private keys, token dumps, unrestricted environment inspection.</w:t>
      </w:r>
    </w:p>
    <w:p>
      <w:pPr>
        <w:pStyle w:val="ListBullet"/>
      </w:pPr>
      <w:r>
        <w:t>Use least-privilege service identities and secret managers.</w:t>
      </w:r>
    </w:p>
    <w:p>
      <w:pPr>
        <w:pStyle w:val="ListBullet"/>
      </w:pPr>
      <w:r>
        <w:t>Scan generated logs/config/test fixtures for accidental leakage.</w:t>
      </w:r>
    </w:p>
    <w:p>
      <w:pPr>
        <w:pStyle w:val="ListBullet"/>
      </w:pPr>
      <w:r>
        <w:t>Apply retention and audit policies to tool interactions.</w:t>
      </w:r>
    </w:p>
    <w:p>
      <w:pPr>
        <w:pStyle w:val="Heading1"/>
      </w:pPr>
      <w:r>
        <w:t>7. Human Approval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E8EEF7"/>
          </w:tcPr>
          <w:p>
            <w:r>
              <w:rPr>
                <w:b/>
              </w:rPr>
              <w:t>Change type</w:t>
            </w:r>
          </w:p>
        </w:tc>
        <w:tc>
          <w:tcPr>
            <w:tcW w:type="dxa" w:w="5040"/>
            <w:shd w:fill="E8EEF7"/>
          </w:tcPr>
          <w:p>
            <w:r>
              <w:rPr>
                <w:b/>
              </w:rPr>
              <w:t>Recommended human gate</w:t>
            </w:r>
          </w:p>
        </w:tc>
      </w:tr>
      <w:tr>
        <w:tc>
          <w:tcPr>
            <w:tcW w:type="dxa" w:w="5040"/>
            <w:vAlign w:val="top"/>
          </w:tcPr>
          <w:p>
            <w:r>
              <w:t>Authentication/authorization</w:t>
            </w:r>
          </w:p>
        </w:tc>
        <w:tc>
          <w:tcPr>
            <w:tcW w:type="dxa" w:w="5040"/>
            <w:vAlign w:val="top"/>
          </w:tcPr>
          <w:p>
            <w:r>
              <w:t>Security owner + relevant tests/threat model.</w:t>
            </w:r>
          </w:p>
        </w:tc>
      </w:tr>
      <w:tr>
        <w:tc>
          <w:tcPr>
            <w:tcW w:type="dxa" w:w="5040"/>
            <w:vAlign w:val="top"/>
          </w:tcPr>
          <w:p>
            <w:r>
              <w:t>Payments/pricing</w:t>
            </w:r>
          </w:p>
        </w:tc>
        <w:tc>
          <w:tcPr>
            <w:tcW w:type="dxa" w:w="5040"/>
            <w:vAlign w:val="top"/>
          </w:tcPr>
          <w:p>
            <w:r>
              <w:t>Domain owner + idempotency/contract evidence.</w:t>
            </w:r>
          </w:p>
        </w:tc>
      </w:tr>
      <w:tr>
        <w:tc>
          <w:tcPr>
            <w:tcW w:type="dxa" w:w="5040"/>
            <w:vAlign w:val="top"/>
          </w:tcPr>
          <w:p>
            <w:r>
              <w:t>PII/data access</w:t>
            </w:r>
          </w:p>
        </w:tc>
        <w:tc>
          <w:tcPr>
            <w:tcW w:type="dxa" w:w="5040"/>
            <w:vAlign w:val="top"/>
          </w:tcPr>
          <w:p>
            <w:r>
              <w:t>Privacy/data owner + scoped access evidence.</w:t>
            </w:r>
          </w:p>
        </w:tc>
      </w:tr>
      <w:tr>
        <w:tc>
          <w:tcPr>
            <w:tcW w:type="dxa" w:w="5040"/>
            <w:vAlign w:val="top"/>
          </w:tcPr>
          <w:p>
            <w:r>
              <w:t>Database migration</w:t>
            </w:r>
          </w:p>
        </w:tc>
        <w:tc>
          <w:tcPr>
            <w:tcW w:type="dxa" w:w="5040"/>
            <w:vAlign w:val="top"/>
          </w:tcPr>
          <w:p>
            <w:r>
              <w:t>DBA/data owner + rollback/compatibility plan.</w:t>
            </w:r>
          </w:p>
        </w:tc>
      </w:tr>
      <w:tr>
        <w:tc>
          <w:tcPr>
            <w:tcW w:type="dxa" w:w="5040"/>
            <w:vAlign w:val="top"/>
          </w:tcPr>
          <w:p>
            <w:r>
              <w:t>Public API</w:t>
            </w:r>
          </w:p>
        </w:tc>
        <w:tc>
          <w:tcPr>
            <w:tcW w:type="dxa" w:w="5040"/>
            <w:vAlign w:val="top"/>
          </w:tcPr>
          <w:p>
            <w:r>
              <w:t>Consumer impact + architecture approval.</w:t>
            </w:r>
          </w:p>
        </w:tc>
      </w:tr>
      <w:tr>
        <w:tc>
          <w:tcPr>
            <w:tcW w:type="dxa" w:w="5040"/>
            <w:vAlign w:val="top"/>
          </w:tcPr>
          <w:p>
            <w:r>
              <w:t>Dependency upgrade</w:t>
            </w:r>
          </w:p>
        </w:tc>
        <w:tc>
          <w:tcPr>
            <w:tcW w:type="dxa" w:w="5040"/>
            <w:vAlign w:val="top"/>
          </w:tcPr>
          <w:p>
            <w:r>
              <w:t>Security/supply-chain + build/runtime validation.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Production deploy/data deletion</w:t>
            </w:r>
          </w:p>
        </w:tc>
        <w:tc>
          <w:tcPr>
            <w:tcW w:type="dxa" w:w="5040"/>
            <w:vAlign w:val="top"/>
          </w:tcPr>
          <w:p>
            <w:r>
              <w:t>Separate controlled release/break-glass workflow.</w:t>
            </w:r>
          </w:p>
        </w:tc>
      </w:tr>
    </w:tbl>
    <w:p>
      <w:pPr>
        <w:pStyle w:val="Heading1"/>
      </w:pPr>
      <w:r>
        <w:t>8. Governance Artifacts to Keep Versioned</w:t>
      </w:r>
    </w:p>
    <w:p>
      <w:pPr>
        <w:pStyle w:val="ListBullet"/>
      </w:pPr>
      <w:r>
        <w:t>CLAUDE.md</w:t>
      </w:r>
    </w:p>
    <w:p>
      <w:pPr>
        <w:pStyle w:val="ListBullet"/>
      </w:pPr>
      <w:r>
        <w:t>Permission settings / allow-ask-deny policy</w:t>
      </w:r>
    </w:p>
    <w:p>
      <w:pPr>
        <w:pStyle w:val="ListBullet"/>
      </w:pPr>
      <w:r>
        <w:t>MCP tool catalog and scopes</w:t>
      </w:r>
    </w:p>
    <w:p>
      <w:pPr>
        <w:pStyle w:val="ListBullet"/>
      </w:pPr>
      <w:r>
        <w:t>PR template and ARCH-GATE checklist</w:t>
      </w:r>
    </w:p>
    <w:p>
      <w:pPr>
        <w:pStyle w:val="ListBullet"/>
      </w:pPr>
      <w:r>
        <w:t>CODEOWNERS / branch protection</w:t>
      </w:r>
    </w:p>
    <w:p>
      <w:pPr>
        <w:pStyle w:val="ListBullet"/>
      </w:pPr>
      <w:r>
        <w:t>ADRs and approval records</w:t>
      </w:r>
    </w:p>
    <w:p>
      <w:pPr>
        <w:pStyle w:val="ListBullet"/>
      </w:pPr>
      <w:r>
        <w:t>Security and incident learnings</w:t>
      </w:r>
    </w:p>
    <w:p>
      <w:pPr>
        <w:pStyle w:val="Heading1"/>
      </w:pPr>
      <w:r>
        <w:t>9. Governance Maturity Path</w:t>
      </w:r>
    </w:p>
    <w:p>
      <w:pPr>
        <w:pStyle w:val="ListNumber"/>
      </w:pPr>
      <w:r>
        <w:t>Read-only discovery with audit.</w:t>
      </w:r>
    </w:p>
    <w:p>
      <w:pPr>
        <w:pStyle w:val="ListNumber"/>
      </w:pPr>
      <w:r>
        <w:t>Tests/docs generation under review.</w:t>
      </w:r>
    </w:p>
    <w:p>
      <w:pPr>
        <w:pStyle w:val="ListNumber"/>
      </w:pPr>
      <w:r>
        <w:t>Small edits with plan-first prompts.</w:t>
      </w:r>
    </w:p>
    <w:p>
      <w:pPr>
        <w:pStyle w:val="ListNumber"/>
      </w:pPr>
      <w:r>
        <w:t>Feature work with quality and owner gates.</w:t>
      </w:r>
    </w:p>
    <w:p>
      <w:pPr>
        <w:pStyle w:val="ListNumber"/>
      </w:pPr>
      <w:r>
        <w:t>Tool/MCP access with least privilege and explicit approval boundaries.</w:t>
      </w:r>
    </w:p>
    <w:p>
      <w:pPr>
        <w:pStyle w:val="ListNumber"/>
      </w:pPr>
      <w:r>
        <w:t>Continuous policy refinement from incidents and reviews.</w:t>
      </w:r>
    </w:p>
    <w:p>
      <w:pPr>
        <w:pStyle w:val="Heading1"/>
      </w:pPr>
      <w:r>
        <w:t>10. Final Principle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AEA"/>
          </w:tcPr>
          <w:p>
            <w:r>
              <w:rPr>
                <w:b/>
              </w:rPr>
              <w:t>Not every task needs a meeting. Not every task deserves autonomy. Match autonomy to blast radius.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