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6 Best Practices — Production Observability, Architecture Drift &amp; Incident Learning</w:t>
      </w:r>
    </w:p>
    <w:p>
      <w:r>
        <w:rPr>
          <w:i/>
        </w:rPr>
        <w:t>Operational guidance for learning from production without turning incidents into undocumented architecture</w:t>
      </w:r>
    </w:p>
    <w:p>
      <w:r>
        <w:t>ChatGPT for Software Architects • Act 6 — OPERATE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>Observability becomes architectural when it can tell you which assumption failed, which boundary was crossed, and what decision should change.</w:t>
            </w:r>
          </w:p>
        </w:tc>
      </w:tr>
    </w:tbl>
    <w:p>
      <w:pPr>
        <w:pStyle w:val="Heading1"/>
      </w:pPr>
      <w:r>
        <w:t>1. Observe the System at Four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5040"/>
          </w:tcPr>
          <w:p>
            <w:r>
              <w:t>Infrastructure</w:t>
            </w:r>
          </w:p>
        </w:tc>
        <w:tc>
          <w:tcPr>
            <w:tcW w:type="dxa" w:w="5040"/>
          </w:tcPr>
          <w:p>
            <w:r>
              <w:t>CPU, memory, saturation, network, queue depth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Latency, errors, throughput, dependency health</w:t>
            </w:r>
          </w:p>
        </w:tc>
      </w:tr>
      <w:tr>
        <w:tc>
          <w:tcPr>
            <w:tcW w:type="dxa" w:w="5040"/>
          </w:tcPr>
          <w:p>
            <w:r>
              <w:t>Business</w:t>
            </w:r>
          </w:p>
        </w:tc>
        <w:tc>
          <w:tcPr>
            <w:tcW w:type="dxa" w:w="5040"/>
          </w:tcPr>
          <w:p>
            <w:r>
              <w:t>Conversion, checkout success, inventory-promise accuracy, duplicate charges</w:t>
            </w:r>
          </w:p>
        </w:tc>
      </w:tr>
      <w:tr>
        <w:tc>
          <w:tcPr>
            <w:tcW w:type="dxa" w:w="5040"/>
          </w:tcPr>
          <w:p>
            <w:r>
              <w:t>AI/agent</w:t>
            </w:r>
          </w:p>
        </w:tc>
        <w:tc>
          <w:tcPr>
            <w:tcW w:type="dxa" w:w="5040"/>
          </w:tcPr>
          <w:p>
            <w:r>
              <w:t>Model latency, tokens, tool calls, hops, retrieval quality, escalation, policy denials, cost/task</w:t>
            </w:r>
          </w:p>
        </w:tc>
      </w:tr>
    </w:tbl>
    <w:p>
      <w:pPr>
        <w:pStyle w:val="Heading1"/>
      </w:pPr>
      <w:r>
        <w:t>2. Tail and Failure-Path Metrics Matter</w:t>
      </w:r>
    </w:p>
    <w:p>
      <w:pPr>
        <w:pStyle w:val="ListBullet"/>
      </w:pPr>
      <w:r>
        <w:t>Use percentiles, not only averages.</w:t>
      </w:r>
    </w:p>
    <w:p>
      <w:pPr>
        <w:pStyle w:val="ListBullet"/>
      </w:pPr>
      <w:r>
        <w:t>Track fallback activation and degraded-mode quality.</w:t>
      </w:r>
    </w:p>
    <w:p>
      <w:pPr>
        <w:pStyle w:val="ListBullet"/>
      </w:pPr>
      <w:r>
        <w:t>Measure queue/backlog age where freshness matters.</w:t>
      </w:r>
    </w:p>
    <w:p>
      <w:pPr>
        <w:pStyle w:val="ListBullet"/>
      </w:pPr>
      <w:r>
        <w:t>Separate dependency failure from application failure.</w:t>
      </w:r>
    </w:p>
    <w:p>
      <w:pPr>
        <w:pStyle w:val="ListBullet"/>
      </w:pPr>
      <w:r>
        <w:t>Trace external tool calls and agent decisions with reason codes.</w:t>
      </w:r>
    </w:p>
    <w:p>
      <w:pPr>
        <w:pStyle w:val="Heading1"/>
      </w:pPr>
      <w:r>
        <w:t>3. Architecture Drift Review Pattern</w:t>
      </w:r>
    </w:p>
    <w:p>
      <w:r>
        <w:rPr>
          <w:rFonts w:ascii="Consolas" w:hAnsi="Consolas"/>
          <w:sz w:val="18"/>
        </w:rPr>
        <w:t>Evidence → Violated intent/ADR → Severity → Blast radius</w:t>
        <w:br/>
      </w:r>
      <w:r>
        <w:rPr>
          <w:rFonts w:ascii="Consolas" w:hAnsi="Consolas"/>
          <w:sz w:val="18"/>
        </w:rPr>
        <w:t>→ Code wrong or ADR stale? → Corrective action → Prevention control</w:t>
        <w:br/>
      </w:r>
    </w:p>
    <w:p>
      <w:pPr>
        <w:pStyle w:val="Heading1"/>
      </w:pPr>
      <w:r>
        <w:t>4. Drift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Boundary drift</w:t>
            </w:r>
          </w:p>
        </w:tc>
        <w:tc>
          <w:tcPr>
            <w:tcW w:type="dxa" w:w="5040"/>
          </w:tcPr>
          <w:p>
            <w:r>
              <w:t>Controller takes on domain policy</w:t>
            </w:r>
          </w:p>
        </w:tc>
      </w:tr>
      <w:tr>
        <w:tc>
          <w:tcPr>
            <w:tcW w:type="dxa" w:w="5040"/>
          </w:tcPr>
          <w:p>
            <w:r>
              <w:t>Data drift</w:t>
            </w:r>
          </w:p>
        </w:tc>
        <w:tc>
          <w:tcPr>
            <w:tcW w:type="dxa" w:w="5040"/>
          </w:tcPr>
          <w:p>
            <w:r>
              <w:t>Cache becomes source of truth</w:t>
            </w:r>
          </w:p>
        </w:tc>
      </w:tr>
      <w:tr>
        <w:tc>
          <w:tcPr>
            <w:tcW w:type="dxa" w:w="5040"/>
          </w:tcPr>
          <w:p>
            <w:r>
              <w:t>Contract drift</w:t>
            </w:r>
          </w:p>
        </w:tc>
        <w:tc>
          <w:tcPr>
            <w:tcW w:type="dxa" w:w="5040"/>
          </w:tcPr>
          <w:p>
            <w:r>
              <w:t>Public API changes without decision</w:t>
            </w:r>
          </w:p>
        </w:tc>
      </w:tr>
      <w:tr>
        <w:tc>
          <w:tcPr>
            <w:tcW w:type="dxa" w:w="5040"/>
          </w:tcPr>
          <w:p>
            <w:r>
              <w:t>Security drift</w:t>
            </w:r>
          </w:p>
        </w:tc>
        <w:tc>
          <w:tcPr>
            <w:tcW w:type="dxa" w:w="5040"/>
          </w:tcPr>
          <w:p>
            <w:r>
              <w:t>Logging or permissions expand</w:t>
            </w:r>
          </w:p>
        </w:tc>
      </w:tr>
      <w:tr>
        <w:tc>
          <w:tcPr>
            <w:tcW w:type="dxa" w:w="5040"/>
          </w:tcPr>
          <w:p>
            <w:r>
              <w:t>Dependency drift</w:t>
            </w:r>
          </w:p>
        </w:tc>
        <w:tc>
          <w:tcPr>
            <w:tcW w:type="dxa" w:w="5040"/>
          </w:tcPr>
          <w:p>
            <w:r>
              <w:t>New mandatory service enters critical path</w:t>
            </w:r>
          </w:p>
        </w:tc>
      </w:tr>
      <w:tr>
        <w:tc>
          <w:tcPr>
            <w:tcW w:type="dxa" w:w="5040"/>
          </w:tcPr>
          <w:p>
            <w:r>
              <w:t>Agent-authority drift</w:t>
            </w:r>
          </w:p>
        </w:tc>
        <w:tc>
          <w:tcPr>
            <w:tcW w:type="dxa" w:w="5040"/>
          </w:tcPr>
          <w:p>
            <w:r>
              <w:t>Tool scope expands without governance update</w:t>
            </w:r>
          </w:p>
        </w:tc>
      </w:tr>
    </w:tbl>
    <w:p>
      <w:pPr>
        <w:pStyle w:val="Heading1"/>
      </w:pPr>
      <w:r>
        <w:t>5. Incident-to-Architecture Learning</w:t>
      </w:r>
    </w:p>
    <w:p>
      <w:pPr>
        <w:pStyle w:val="ListNumber"/>
      </w:pPr>
      <w:r>
        <w:t>Stabilize the customer/system first.</w:t>
      </w:r>
    </w:p>
    <w:p>
      <w:pPr>
        <w:pStyle w:val="ListNumber"/>
      </w:pPr>
      <w:r>
        <w:t>Record which architecture assumption failed.</w:t>
      </w:r>
    </w:p>
    <w:p>
      <w:pPr>
        <w:pStyle w:val="ListNumber"/>
      </w:pPr>
      <w:r>
        <w:t>Distinguish implementation defect from decision defect.</w:t>
      </w:r>
    </w:p>
    <w:p>
      <w:pPr>
        <w:pStyle w:val="ListNumber"/>
      </w:pPr>
      <w:r>
        <w:t>Update ADR only when evidence changes architecture intent.</w:t>
      </w:r>
    </w:p>
    <w:p>
      <w:pPr>
        <w:pStyle w:val="ListNumber"/>
      </w:pPr>
      <w:r>
        <w:t>Add or strengthen a fitness function.</w:t>
      </w:r>
    </w:p>
    <w:p>
      <w:pPr>
        <w:pStyle w:val="ListNumber"/>
      </w:pPr>
      <w:r>
        <w:t>Update CLAUDE.md/policy when future AI-assisted work must obey a new rule.</w:t>
      </w:r>
    </w:p>
    <w:p>
      <w:pPr>
        <w:pStyle w:val="ListNumber"/>
      </w:pPr>
      <w:r>
        <w:t>Verify the learning through CI/runtime controls.</w:t>
      </w:r>
    </w:p>
    <w:p>
      <w:pPr>
        <w:pStyle w:val="Heading1"/>
      </w:pPr>
      <w:r>
        <w:t>6. Safe Degradation Best Practices</w:t>
      </w:r>
    </w:p>
    <w:p>
      <w:pPr>
        <w:pStyle w:val="ListBullet"/>
      </w:pPr>
      <w:r>
        <w:t>Design degradation before the incident.</w:t>
      </w:r>
    </w:p>
    <w:p>
      <w:pPr>
        <w:pStyle w:val="ListBullet"/>
      </w:pPr>
      <w:r>
        <w:t>Keep optional intelligence off mandatory availability paths when possible.</w:t>
      </w:r>
    </w:p>
    <w:p>
      <w:pPr>
        <w:pStyle w:val="ListBullet"/>
      </w:pPr>
      <w:r>
        <w:t>Protect correctness-sensitive paths before quality/experience enhancements.</w:t>
      </w:r>
    </w:p>
    <w:p>
      <w:pPr>
        <w:pStyle w:val="ListBullet"/>
      </w:pPr>
      <w:r>
        <w:t>Make degradation visible in telemetry and, where appropriate, to users.</w:t>
      </w:r>
    </w:p>
    <w:p>
      <w:pPr>
        <w:pStyle w:val="ListBullet"/>
      </w:pPr>
      <w:r>
        <w:t>Test degraded modes regularly.</w:t>
      </w:r>
    </w:p>
    <w:p>
      <w:pPr>
        <w:pStyle w:val="Heading1"/>
      </w:pPr>
      <w:r>
        <w:t>7. Agentic-System Operating Controls</w:t>
      </w:r>
    </w:p>
    <w:p>
      <w:pPr>
        <w:pStyle w:val="ListBullet"/>
      </w:pPr>
      <w:r>
        <w:t>Hop and retry budgets.</w:t>
      </w:r>
    </w:p>
    <w:p>
      <w:pPr>
        <w:pStyle w:val="ListBullet"/>
      </w:pPr>
      <w:r>
        <w:t>Tool timeouts and circuit breakers.</w:t>
      </w:r>
    </w:p>
    <w:p>
      <w:pPr>
        <w:pStyle w:val="ListBullet"/>
      </w:pPr>
      <w:r>
        <w:t>Permission/policy denial telemetry.</w:t>
      </w:r>
    </w:p>
    <w:p>
      <w:pPr>
        <w:pStyle w:val="ListBullet"/>
      </w:pPr>
      <w:r>
        <w:t>Human escalation and stop authority.</w:t>
      </w:r>
    </w:p>
    <w:p>
      <w:pPr>
        <w:pStyle w:val="ListBullet"/>
      </w:pPr>
      <w:r>
        <w:t>Cost per successful task.</w:t>
      </w:r>
    </w:p>
    <w:p>
      <w:pPr>
        <w:pStyle w:val="ListBullet"/>
      </w:pPr>
      <w:r>
        <w:t>Replay/audit trail sufficient to reconstruct important decisions.</w:t>
      </w:r>
    </w:p>
    <w:p>
      <w:pPr>
        <w:pStyle w:val="Heading1"/>
      </w:pPr>
      <w:r>
        <w:t>8. Post-Incident Review Questions</w:t>
      </w:r>
    </w:p>
    <w:p>
      <w:pPr>
        <w:pStyle w:val="ListBullet"/>
      </w:pPr>
      <w:r>
        <w:t>Which architecture assumption was wrong or incomplete?</w:t>
      </w:r>
    </w:p>
    <w:p>
      <w:pPr>
        <w:pStyle w:val="ListBullet"/>
      </w:pPr>
      <w:r>
        <w:t>Which signal should have warned us earlier?</w:t>
      </w:r>
    </w:p>
    <w:p>
      <w:pPr>
        <w:pStyle w:val="ListBullet"/>
      </w:pPr>
      <w:r>
        <w:t>Did retries, caches, queues, or agents amplify the incident?</w:t>
      </w:r>
    </w:p>
    <w:p>
      <w:pPr>
        <w:pStyle w:val="ListBullet"/>
      </w:pPr>
      <w:r>
        <w:t>What should become a fitness function?</w:t>
      </w:r>
    </w:p>
    <w:p>
      <w:pPr>
        <w:pStyle w:val="ListBullet"/>
      </w:pPr>
      <w:r>
        <w:t>What should become a CLAUDE.md or governance rule?</w:t>
      </w:r>
    </w:p>
    <w:p>
      <w:pPr>
        <w:pStyle w:val="ListBullet"/>
      </w:pPr>
      <w:r>
        <w:t>What evidence would tell us the fix actually worked?</w:t>
      </w:r>
    </w:p>
    <w:p>
      <w:pPr>
        <w:pStyle w:val="Heading1"/>
      </w:pPr>
      <w:r>
        <w:t>9. Maturity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40"/>
          </w:tcPr>
          <w:p>
            <w:r>
              <w:t>Reactive</w:t>
            </w:r>
          </w:p>
        </w:tc>
        <w:tc>
          <w:tcPr>
            <w:tcW w:type="dxa" w:w="5040"/>
          </w:tcPr>
          <w:p>
            <w:r>
              <w:t>Incidents fixed; architecture unchanged</w:t>
            </w:r>
          </w:p>
        </w:tc>
      </w:tr>
      <w:tr>
        <w:tc>
          <w:tcPr>
            <w:tcW w:type="dxa" w:w="5040"/>
          </w:tcPr>
          <w:p>
            <w:r>
              <w:t>Observable</w:t>
            </w:r>
          </w:p>
        </w:tc>
        <w:tc>
          <w:tcPr>
            <w:tcW w:type="dxa" w:w="5040"/>
          </w:tcPr>
          <w:p>
            <w:r>
              <w:t>Metrics exist but are weakly connected to decisions</w:t>
            </w:r>
          </w:p>
        </w:tc>
      </w:tr>
      <w:tr>
        <w:tc>
          <w:tcPr>
            <w:tcW w:type="dxa" w:w="5040"/>
          </w:tcPr>
          <w:p>
            <w:r>
              <w:t>Governed</w:t>
            </w:r>
          </w:p>
        </w:tc>
        <w:tc>
          <w:tcPr>
            <w:tcW w:type="dxa" w:w="5040"/>
          </w:tcPr>
          <w:p>
            <w:r>
              <w:t>ADRs, rules, and dashboards are linked</w:t>
            </w:r>
          </w:p>
        </w:tc>
      </w:tr>
      <w:tr>
        <w:tc>
          <w:tcPr>
            <w:tcW w:type="dxa" w:w="5040"/>
          </w:tcPr>
          <w:p>
            <w:r>
              <w:t>Adaptive</w:t>
            </w:r>
          </w:p>
        </w:tc>
        <w:tc>
          <w:tcPr>
            <w:tcW w:type="dxa" w:w="5040"/>
          </w:tcPr>
          <w:p>
            <w:r>
              <w:t>Production evidence triggers controlled architecture review</w:t>
            </w:r>
          </w:p>
        </w:tc>
      </w:tr>
      <w:tr>
        <w:tc>
          <w:tcPr>
            <w:tcW w:type="dxa" w:w="5040"/>
          </w:tcPr>
          <w:p>
            <w:r>
              <w:t>Learning</w:t>
            </w:r>
          </w:p>
        </w:tc>
        <w:tc>
          <w:tcPr>
            <w:tcW w:type="dxa" w:w="5040"/>
          </w:tcPr>
          <w:p>
            <w:r>
              <w:t>New evidence feeds tests, policies, and architecture controls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