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72033"/>
          <w:sz w:val="48"/>
        </w:rPr>
        <w:t>Act 1 THINK — Participant Workbook</w:t>
      </w:r>
    </w:p>
    <w:p>
      <w:r>
        <w:rPr>
          <w:color w:val="4B5563"/>
          <w:sz w:val="22"/>
        </w:rPr>
        <w:t>ChatGPT for Software Architects · Discover the Architecture Problem</w:t>
      </w:r>
    </w:p>
    <w:p>
      <w:r>
        <w:rPr>
          <w:b/>
        </w:rPr>
        <w:t xml:space="preserve">Workshop outcome: </w:t>
      </w:r>
      <w:r>
        <w:t>Use ChatGPT to turn messy business context into a clear Architecture Problem Brief that feeds later design, decision, Claude Code, and governance labs.</w:t>
      </w:r>
    </w:p>
    <w:p>
      <w:pPr>
        <w:pStyle w:val="Heading1"/>
      </w:pPr>
      <w:r>
        <w:rPr>
          <w:color w:val="172033"/>
        </w:rPr>
        <w:t>Act 1 Lab Flow</w:t>
      </w:r>
    </w:p>
    <w:tbl>
      <w:tblPr>
        <w:tblW w:type="auto" w:w="0"/>
        <w:jc w:val="center"/>
        <w:tblLook w:firstColumn="1" w:firstRow="1" w:lastColumn="0" w:lastRow="0" w:noHBand="0" w:noVBand="1" w:val="04A0"/>
      </w:tblPr>
      <w:tblGrid>
        <w:gridCol w:w="3456"/>
        <w:gridCol w:w="3456"/>
        <w:gridCol w:w="3456"/>
      </w:tblGrid>
      <w:tr>
        <w:tc>
          <w:tcPr>
            <w:tcW w:type="dxa" w:w="3456"/>
            <w:vAlign w:val="top"/>
            <w:shd w:fill="172033"/>
          </w:tcPr>
          <w:p>
            <w:r/>
            <w:r>
              <w:rPr>
                <w:b/>
                <w:color w:val="FFFFFF"/>
                <w:sz w:val="18"/>
              </w:rPr>
              <w:t>Lab</w:t>
            </w:r>
          </w:p>
        </w:tc>
        <w:tc>
          <w:tcPr>
            <w:tcW w:type="dxa" w:w="3456"/>
            <w:vAlign w:val="top"/>
            <w:shd w:fill="172033"/>
          </w:tcPr>
          <w:p>
            <w:r/>
            <w:r>
              <w:rPr>
                <w:b/>
                <w:color w:val="FFFFFF"/>
                <w:sz w:val="18"/>
              </w:rPr>
              <w:t>Activity</w:t>
            </w:r>
          </w:p>
        </w:tc>
        <w:tc>
          <w:tcPr>
            <w:tcW w:type="dxa" w:w="3456"/>
            <w:vAlign w:val="top"/>
            <w:shd w:fill="172033"/>
          </w:tcPr>
          <w:p>
            <w:r/>
            <w:r>
              <w:rPr>
                <w:b/>
                <w:color w:val="FFFFFF"/>
                <w:sz w:val="18"/>
              </w:rPr>
              <w:t>Time</w:t>
            </w:r>
          </w:p>
        </w:tc>
      </w:tr>
      <w:tr>
        <w:tc>
          <w:tcPr>
            <w:tcW w:type="dxa" w:w="3456"/>
            <w:vAlign w:val="top"/>
          </w:tcPr>
          <w:p>
            <w:r/>
            <w:r>
              <w:rPr>
                <w:b/>
                <w:color w:val="2563EB"/>
                <w:sz w:val="18"/>
              </w:rPr>
              <w:t>1A</w:t>
            </w:r>
          </w:p>
        </w:tc>
        <w:tc>
          <w:tcPr>
            <w:tcW w:type="dxa" w:w="3456"/>
            <w:vAlign w:val="top"/>
          </w:tcPr>
          <w:p>
            <w:r/>
            <w:r>
              <w:rPr>
                <w:b w:val="0"/>
                <w:color w:val="111827"/>
                <w:sz w:val="18"/>
              </w:rPr>
              <w:t>Build the Architecture Problem Brief</w:t>
            </w:r>
          </w:p>
        </w:tc>
        <w:tc>
          <w:tcPr>
            <w:tcW w:type="dxa" w:w="3456"/>
            <w:vAlign w:val="top"/>
          </w:tcPr>
          <w:p>
            <w:r/>
            <w:r>
              <w:rPr>
                <w:b w:val="0"/>
                <w:color w:val="111827"/>
                <w:sz w:val="18"/>
              </w:rPr>
              <w:t>15 min</w:t>
            </w:r>
          </w:p>
        </w:tc>
      </w:tr>
      <w:tr>
        <w:tc>
          <w:tcPr>
            <w:tcW w:type="dxa" w:w="3456"/>
            <w:vAlign w:val="top"/>
          </w:tcPr>
          <w:p>
            <w:r/>
            <w:r>
              <w:rPr>
                <w:b/>
                <w:color w:val="2563EB"/>
                <w:sz w:val="18"/>
              </w:rPr>
              <w:t>1B</w:t>
            </w:r>
          </w:p>
        </w:tc>
        <w:tc>
          <w:tcPr>
            <w:tcW w:type="dxa" w:w="3456"/>
            <w:vAlign w:val="top"/>
          </w:tcPr>
          <w:p>
            <w:r/>
            <w:r>
              <w:rPr>
                <w:b w:val="0"/>
                <w:color w:val="111827"/>
                <w:sz w:val="18"/>
              </w:rPr>
              <w:t>Map Journey to Architecture Pressure</w:t>
            </w:r>
          </w:p>
        </w:tc>
        <w:tc>
          <w:tcPr>
            <w:tcW w:type="dxa" w:w="3456"/>
            <w:vAlign w:val="top"/>
          </w:tcPr>
          <w:p>
            <w:r/>
            <w:r>
              <w:rPr>
                <w:b w:val="0"/>
                <w:color w:val="111827"/>
                <w:sz w:val="18"/>
              </w:rPr>
              <w:t>15 min</w:t>
            </w:r>
          </w:p>
        </w:tc>
      </w:tr>
      <w:tr>
        <w:tc>
          <w:tcPr>
            <w:tcW w:type="dxa" w:w="3456"/>
            <w:vAlign w:val="top"/>
          </w:tcPr>
          <w:p>
            <w:r/>
            <w:r>
              <w:rPr>
                <w:b/>
                <w:color w:val="2563EB"/>
                <w:sz w:val="18"/>
              </w:rPr>
              <w:t>1C</w:t>
            </w:r>
          </w:p>
        </w:tc>
        <w:tc>
          <w:tcPr>
            <w:tcW w:type="dxa" w:w="3456"/>
            <w:vAlign w:val="top"/>
          </w:tcPr>
          <w:p>
            <w:r/>
            <w:r>
              <w:rPr>
                <w:b w:val="0"/>
                <w:color w:val="111827"/>
                <w:sz w:val="18"/>
              </w:rPr>
              <w:t>Critique and Improve the AI Output</w:t>
            </w:r>
          </w:p>
        </w:tc>
        <w:tc>
          <w:tcPr>
            <w:tcW w:type="dxa" w:w="3456"/>
            <w:vAlign w:val="top"/>
          </w:tcPr>
          <w:p>
            <w:r/>
            <w:r>
              <w:rPr>
                <w:b w:val="0"/>
                <w:color w:val="111827"/>
                <w:sz w:val="18"/>
              </w:rPr>
              <w:t>10 min</w:t>
            </w:r>
          </w:p>
        </w:tc>
      </w:tr>
      <w:tr>
        <w:tc>
          <w:tcPr>
            <w:tcW w:type="dxa" w:w="3456"/>
            <w:vAlign w:val="top"/>
          </w:tcPr>
          <w:p>
            <w:r/>
            <w:r>
              <w:rPr>
                <w:b/>
                <w:color w:val="2563EB"/>
                <w:sz w:val="18"/>
              </w:rPr>
              <w:t>Review</w:t>
            </w:r>
          </w:p>
        </w:tc>
        <w:tc>
          <w:tcPr>
            <w:tcW w:type="dxa" w:w="3456"/>
            <w:vAlign w:val="top"/>
          </w:tcPr>
          <w:p>
            <w:r/>
            <w:r>
              <w:rPr>
                <w:b w:val="0"/>
                <w:color w:val="111827"/>
                <w:sz w:val="18"/>
              </w:rPr>
              <w:t>Share and checkpoint</w:t>
            </w:r>
          </w:p>
        </w:tc>
        <w:tc>
          <w:tcPr>
            <w:tcW w:type="dxa" w:w="3456"/>
            <w:vAlign w:val="top"/>
          </w:tcPr>
          <w:p>
            <w:r/>
            <w:r>
              <w:rPr>
                <w:b w:val="0"/>
                <w:color w:val="111827"/>
                <w:sz w:val="18"/>
              </w:rPr>
              <w:t>5 min</w:t>
            </w:r>
          </w:p>
        </w:tc>
      </w:tr>
    </w:tbl>
    <w:p/>
    <w:p>
      <w:pPr>
        <w:pStyle w:val="Heading1"/>
      </w:pPr>
      <w:r>
        <w:rPr>
          <w:color w:val="172033"/>
        </w:rPr>
        <w:t>Case Input — ShopSmart AI Commerce</w:t>
      </w:r>
    </w:p>
    <w:p>
      <w:r>
        <w:t>Customers complain that search results are irrelevant, inventory shown online is sometimes unavailable, checkout slows during promotions, and delivery promises are inaccurate. Leadership wants an AI shopping assistant before Black Friday. The initial use case is: find red Michael Jordan men’s shoes, size 12, under $100, delivered to Boston within two days.</w:t>
      </w:r>
    </w:p>
    <w:p>
      <w:pPr>
        <w:pStyle w:val="Heading1"/>
      </w:pPr>
      <w:r>
        <w:rPr>
          <w:color w:val="172033"/>
        </w:rPr>
        <w:t>Lab 1A — Build the Architecture Problem Brief</w:t>
      </w:r>
    </w:p>
    <w:tbl>
      <w:tblPr>
        <w:tblW w:type="auto" w:w="0"/>
        <w:jc w:val="center"/>
        <w:tblLayout w:type="autofit"/>
        <w:tblLook w:firstColumn="1" w:firstRow="1" w:lastColumn="0" w:lastRow="0" w:noHBand="0" w:noVBand="1" w:val="04A0"/>
      </w:tblPr>
      <w:tblGrid>
        <w:gridCol w:w="10368"/>
      </w:tblGrid>
      <w:tr>
        <w:tc>
          <w:tcPr>
            <w:tcW w:type="dxa" w:w="10368"/>
            <w:vAlign w:val="top"/>
            <w:shd w:fill="FFFBEB"/>
          </w:tcPr>
          <w:p>
            <w:r/>
            <w:r>
              <w:rPr>
                <w:b/>
                <w:color w:val="92400E"/>
                <w:sz w:val="20"/>
              </w:rPr>
              <w:t>Prompt Starter</w:t>
            </w:r>
          </w:p>
        </w:tc>
      </w:tr>
      <w:tr>
        <w:tc>
          <w:tcPr>
            <w:tcW w:type="dxa" w:w="10368"/>
            <w:vAlign w:val="top"/>
            <w:shd w:fill="F9FAFB"/>
          </w:tcPr>
          <w:p>
            <w:r/>
            <w:r>
              <w:rPr>
                <w:b w:val="0"/>
                <w:color w:val="111827"/>
                <w:sz w:val="18"/>
              </w:rPr>
              <w:t>Act as a principal software architect. Before proposing a solution, identify missing information, assumptions, architecture-driving requirements, NFRs, conflicting requirements, and the five highest-value questions. Do not propose technologies yet.</w:t>
              <w:br/>
              <w:br/>
              <w:t>Use this case input: [paste case input].</w:t>
            </w:r>
          </w:p>
        </w:tc>
      </w:tr>
    </w:tbl>
    <w:p/>
    <w:tbl>
      <w:tblPr>
        <w:tblW w:type="auto" w:w="0"/>
        <w:jc w:val="center"/>
        <w:tblLook w:firstColumn="1" w:firstRow="1" w:lastColumn="0" w:lastRow="0" w:noHBand="0" w:noVBand="1" w:val="04A0"/>
      </w:tblPr>
      <w:tblGrid>
        <w:gridCol w:w="5184"/>
        <w:gridCol w:w="5184"/>
      </w:tblGrid>
      <w:tr>
        <w:tc>
          <w:tcPr>
            <w:tcW w:type="dxa" w:w="5184"/>
            <w:vAlign w:val="top"/>
            <w:shd w:fill="172033"/>
          </w:tcPr>
          <w:p>
            <w:r/>
            <w:r>
              <w:rPr>
                <w:b/>
                <w:color w:val="FFFFFF"/>
                <w:sz w:val="18"/>
              </w:rPr>
              <w:t>Section</w:t>
            </w:r>
          </w:p>
        </w:tc>
        <w:tc>
          <w:tcPr>
            <w:tcW w:type="dxa" w:w="5184"/>
            <w:vAlign w:val="top"/>
            <w:shd w:fill="172033"/>
          </w:tcPr>
          <w:p>
            <w:r/>
            <w:r>
              <w:rPr>
                <w:b/>
                <w:color w:val="FFFFFF"/>
                <w:sz w:val="18"/>
              </w:rPr>
              <w:t>Your notes</w:t>
            </w:r>
          </w:p>
        </w:tc>
      </w:tr>
      <w:tr>
        <w:tc>
          <w:tcPr>
            <w:tcW w:type="dxa" w:w="5184"/>
            <w:vAlign w:val="top"/>
          </w:tcPr>
          <w:p>
            <w:r/>
            <w:r>
              <w:rPr>
                <w:b/>
                <w:color w:val="172033"/>
                <w:sz w:val="16"/>
              </w:rPr>
              <w:t>Business outcomes</w:t>
            </w:r>
          </w:p>
        </w:tc>
        <w:tc>
          <w:tcPr>
            <w:tcW w:type="dxa" w:w="5184"/>
            <w:vAlign w:val="top"/>
          </w:tcPr>
          <w:p>
            <w:r/>
            <w:r>
              <w:rPr>
                <w:b w:val="0"/>
                <w:color w:val="111827"/>
                <w:sz w:val="18"/>
              </w:rPr>
              <w:br/>
            </w:r>
          </w:p>
        </w:tc>
      </w:tr>
      <w:tr>
        <w:tc>
          <w:tcPr>
            <w:tcW w:type="dxa" w:w="5184"/>
            <w:vAlign w:val="top"/>
          </w:tcPr>
          <w:p>
            <w:r/>
            <w:r>
              <w:rPr>
                <w:b/>
                <w:color w:val="172033"/>
                <w:sz w:val="16"/>
              </w:rPr>
              <w:t>Personas</w:t>
            </w:r>
          </w:p>
        </w:tc>
        <w:tc>
          <w:tcPr>
            <w:tcW w:type="dxa" w:w="5184"/>
            <w:vAlign w:val="top"/>
          </w:tcPr>
          <w:p>
            <w:r/>
            <w:r>
              <w:rPr>
                <w:b w:val="0"/>
                <w:color w:val="111827"/>
                <w:sz w:val="18"/>
              </w:rPr>
              <w:br/>
            </w:r>
          </w:p>
        </w:tc>
      </w:tr>
      <w:tr>
        <w:tc>
          <w:tcPr>
            <w:tcW w:type="dxa" w:w="5184"/>
            <w:vAlign w:val="top"/>
          </w:tcPr>
          <w:p>
            <w:r/>
            <w:r>
              <w:rPr>
                <w:b/>
                <w:color w:val="172033"/>
                <w:sz w:val="16"/>
              </w:rPr>
              <w:t>Customer journey</w:t>
            </w:r>
          </w:p>
        </w:tc>
        <w:tc>
          <w:tcPr>
            <w:tcW w:type="dxa" w:w="5184"/>
            <w:vAlign w:val="top"/>
          </w:tcPr>
          <w:p>
            <w:r/>
            <w:r>
              <w:rPr>
                <w:b w:val="0"/>
                <w:color w:val="111827"/>
                <w:sz w:val="18"/>
              </w:rPr>
              <w:br/>
            </w:r>
          </w:p>
        </w:tc>
      </w:tr>
      <w:tr>
        <w:tc>
          <w:tcPr>
            <w:tcW w:type="dxa" w:w="5184"/>
            <w:vAlign w:val="top"/>
          </w:tcPr>
          <w:p>
            <w:r/>
            <w:r>
              <w:rPr>
                <w:b/>
                <w:color w:val="172033"/>
                <w:sz w:val="16"/>
              </w:rPr>
              <w:t>Pain points</w:t>
            </w:r>
          </w:p>
        </w:tc>
        <w:tc>
          <w:tcPr>
            <w:tcW w:type="dxa" w:w="5184"/>
            <w:vAlign w:val="top"/>
          </w:tcPr>
          <w:p>
            <w:r/>
            <w:r>
              <w:rPr>
                <w:b w:val="0"/>
                <w:color w:val="111827"/>
                <w:sz w:val="18"/>
              </w:rPr>
              <w:br/>
            </w:r>
          </w:p>
        </w:tc>
      </w:tr>
      <w:tr>
        <w:tc>
          <w:tcPr>
            <w:tcW w:type="dxa" w:w="5184"/>
            <w:vAlign w:val="top"/>
          </w:tcPr>
          <w:p>
            <w:r/>
            <w:r>
              <w:rPr>
                <w:b/>
                <w:color w:val="172033"/>
                <w:sz w:val="16"/>
              </w:rPr>
              <w:t>Functional requirements</w:t>
            </w:r>
          </w:p>
        </w:tc>
        <w:tc>
          <w:tcPr>
            <w:tcW w:type="dxa" w:w="5184"/>
            <w:vAlign w:val="top"/>
          </w:tcPr>
          <w:p>
            <w:r/>
            <w:r>
              <w:rPr>
                <w:b w:val="0"/>
                <w:color w:val="111827"/>
                <w:sz w:val="18"/>
              </w:rPr>
              <w:br/>
            </w:r>
          </w:p>
        </w:tc>
      </w:tr>
      <w:tr>
        <w:tc>
          <w:tcPr>
            <w:tcW w:type="dxa" w:w="5184"/>
            <w:vAlign w:val="top"/>
          </w:tcPr>
          <w:p>
            <w:r/>
            <w:r>
              <w:rPr>
                <w:b/>
                <w:color w:val="172033"/>
                <w:sz w:val="16"/>
              </w:rPr>
              <w:t>Non-functional requirements</w:t>
            </w:r>
          </w:p>
        </w:tc>
        <w:tc>
          <w:tcPr>
            <w:tcW w:type="dxa" w:w="5184"/>
            <w:vAlign w:val="top"/>
          </w:tcPr>
          <w:p>
            <w:r/>
            <w:r>
              <w:rPr>
                <w:b w:val="0"/>
                <w:color w:val="111827"/>
                <w:sz w:val="18"/>
              </w:rPr>
              <w:br/>
            </w:r>
          </w:p>
        </w:tc>
      </w:tr>
      <w:tr>
        <w:tc>
          <w:tcPr>
            <w:tcW w:type="dxa" w:w="5184"/>
            <w:vAlign w:val="top"/>
          </w:tcPr>
          <w:p>
            <w:r/>
            <w:r>
              <w:rPr>
                <w:b/>
                <w:color w:val="172033"/>
                <w:sz w:val="16"/>
              </w:rPr>
              <w:t>Constraints</w:t>
            </w:r>
          </w:p>
        </w:tc>
        <w:tc>
          <w:tcPr>
            <w:tcW w:type="dxa" w:w="5184"/>
            <w:vAlign w:val="top"/>
          </w:tcPr>
          <w:p>
            <w:r/>
            <w:r>
              <w:rPr>
                <w:b w:val="0"/>
                <w:color w:val="111827"/>
                <w:sz w:val="18"/>
              </w:rPr>
              <w:br/>
            </w:r>
          </w:p>
        </w:tc>
      </w:tr>
      <w:tr>
        <w:tc>
          <w:tcPr>
            <w:tcW w:type="dxa" w:w="5184"/>
            <w:vAlign w:val="top"/>
          </w:tcPr>
          <w:p>
            <w:r/>
            <w:r>
              <w:rPr>
                <w:b/>
                <w:color w:val="172033"/>
                <w:sz w:val="16"/>
              </w:rPr>
              <w:t>Assumptions</w:t>
            </w:r>
          </w:p>
        </w:tc>
        <w:tc>
          <w:tcPr>
            <w:tcW w:type="dxa" w:w="5184"/>
            <w:vAlign w:val="top"/>
          </w:tcPr>
          <w:p>
            <w:r/>
            <w:r>
              <w:rPr>
                <w:b w:val="0"/>
                <w:color w:val="111827"/>
                <w:sz w:val="18"/>
              </w:rPr>
              <w:br/>
            </w:r>
          </w:p>
        </w:tc>
      </w:tr>
      <w:tr>
        <w:tc>
          <w:tcPr>
            <w:tcW w:type="dxa" w:w="5184"/>
            <w:vAlign w:val="top"/>
          </w:tcPr>
          <w:p>
            <w:r/>
            <w:r>
              <w:rPr>
                <w:b/>
                <w:color w:val="172033"/>
                <w:sz w:val="16"/>
              </w:rPr>
              <w:t>Unknowns</w:t>
            </w:r>
          </w:p>
        </w:tc>
        <w:tc>
          <w:tcPr>
            <w:tcW w:type="dxa" w:w="5184"/>
            <w:vAlign w:val="top"/>
          </w:tcPr>
          <w:p>
            <w:r/>
            <w:r>
              <w:rPr>
                <w:b w:val="0"/>
                <w:color w:val="111827"/>
                <w:sz w:val="18"/>
              </w:rPr>
              <w:br/>
            </w:r>
          </w:p>
        </w:tc>
      </w:tr>
      <w:tr>
        <w:tc>
          <w:tcPr>
            <w:tcW w:type="dxa" w:w="5184"/>
            <w:vAlign w:val="top"/>
          </w:tcPr>
          <w:p>
            <w:r/>
            <w:r>
              <w:rPr>
                <w:b/>
                <w:color w:val="172033"/>
                <w:sz w:val="16"/>
              </w:rPr>
              <w:t>Top risks</w:t>
            </w:r>
          </w:p>
        </w:tc>
        <w:tc>
          <w:tcPr>
            <w:tcW w:type="dxa" w:w="5184"/>
            <w:vAlign w:val="top"/>
          </w:tcPr>
          <w:p>
            <w:r/>
            <w:r>
              <w:rPr>
                <w:b w:val="0"/>
                <w:color w:val="111827"/>
                <w:sz w:val="18"/>
              </w:rPr>
              <w:br/>
            </w:r>
          </w:p>
        </w:tc>
      </w:tr>
      <w:tr>
        <w:tc>
          <w:tcPr>
            <w:tcW w:type="dxa" w:w="5184"/>
            <w:vAlign w:val="top"/>
          </w:tcPr>
          <w:p>
            <w:r/>
            <w:r>
              <w:rPr>
                <w:b/>
                <w:color w:val="172033"/>
                <w:sz w:val="16"/>
              </w:rPr>
              <w:t>Questions for stakeholders</w:t>
            </w:r>
          </w:p>
        </w:tc>
        <w:tc>
          <w:tcPr>
            <w:tcW w:type="dxa" w:w="5184"/>
            <w:vAlign w:val="top"/>
          </w:tcPr>
          <w:p>
            <w:r/>
            <w:r>
              <w:rPr>
                <w:b w:val="0"/>
                <w:color w:val="111827"/>
                <w:sz w:val="18"/>
              </w:rPr>
              <w:br/>
            </w:r>
          </w:p>
        </w:tc>
      </w:tr>
    </w:tbl>
    <w:p>
      <w:r>
        <w:br w:type="page"/>
      </w:r>
    </w:p>
    <w:p>
      <w:pPr>
        <w:pStyle w:val="Heading1"/>
      </w:pPr>
      <w:r>
        <w:rPr>
          <w:color w:val="172033"/>
        </w:rPr>
        <w:t>Lab 1B — Customer Journey to Architecture Pressure</w:t>
      </w:r>
    </w:p>
    <w:p>
      <w:r>
        <w:t>For each journey stage, identify technical implications. Use ChatGPT to help, then revise based on your judgment.</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top"/>
            <w:shd w:fill="172033"/>
          </w:tcPr>
          <w:p>
            <w:r/>
            <w:r>
              <w:rPr>
                <w:b/>
                <w:color w:val="FFFFFF"/>
                <w:sz w:val="14"/>
              </w:rPr>
              <w:t>Stage</w:t>
            </w:r>
          </w:p>
        </w:tc>
        <w:tc>
          <w:tcPr>
            <w:tcW w:type="dxa" w:w="1728"/>
            <w:vAlign w:val="top"/>
            <w:shd w:fill="172033"/>
          </w:tcPr>
          <w:p>
            <w:r/>
            <w:r>
              <w:rPr>
                <w:b/>
                <w:color w:val="FFFFFF"/>
                <w:sz w:val="14"/>
              </w:rPr>
              <w:t>Latency expectation</w:t>
            </w:r>
          </w:p>
        </w:tc>
        <w:tc>
          <w:tcPr>
            <w:tcW w:type="dxa" w:w="1728"/>
            <w:vAlign w:val="top"/>
            <w:shd w:fill="172033"/>
          </w:tcPr>
          <w:p>
            <w:r/>
            <w:r>
              <w:rPr>
                <w:b/>
                <w:color w:val="FFFFFF"/>
                <w:sz w:val="14"/>
              </w:rPr>
              <w:t>Consistency / freshness</w:t>
            </w:r>
          </w:p>
        </w:tc>
        <w:tc>
          <w:tcPr>
            <w:tcW w:type="dxa" w:w="1728"/>
            <w:vAlign w:val="top"/>
            <w:shd w:fill="172033"/>
          </w:tcPr>
          <w:p>
            <w:r/>
            <w:r>
              <w:rPr>
                <w:b/>
                <w:color w:val="FFFFFF"/>
                <w:sz w:val="14"/>
              </w:rPr>
              <w:t>Failure impact</w:t>
            </w:r>
          </w:p>
        </w:tc>
        <w:tc>
          <w:tcPr>
            <w:tcW w:type="dxa" w:w="1728"/>
            <w:vAlign w:val="top"/>
            <w:shd w:fill="172033"/>
          </w:tcPr>
          <w:p>
            <w:r/>
            <w:r>
              <w:rPr>
                <w:b/>
                <w:color w:val="FFFFFF"/>
                <w:sz w:val="14"/>
              </w:rPr>
              <w:t>Sensitive data</w:t>
            </w:r>
          </w:p>
        </w:tc>
        <w:tc>
          <w:tcPr>
            <w:tcW w:type="dxa" w:w="1728"/>
            <w:vAlign w:val="top"/>
            <w:shd w:fill="172033"/>
          </w:tcPr>
          <w:p>
            <w:r/>
            <w:r>
              <w:rPr>
                <w:b/>
                <w:color w:val="FFFFFF"/>
                <w:sz w:val="14"/>
              </w:rPr>
              <w:t>AI opportunity / risk</w:t>
            </w:r>
          </w:p>
        </w:tc>
      </w:tr>
      <w:tr>
        <w:tc>
          <w:tcPr>
            <w:tcW w:type="dxa" w:w="1728"/>
            <w:vAlign w:val="top"/>
          </w:tcPr>
          <w:p>
            <w:r/>
            <w:r>
              <w:rPr>
                <w:b/>
                <w:color w:val="2563EB"/>
                <w:sz w:val="14"/>
              </w:rPr>
              <w:t>Intent</w:t>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r>
      <w:tr>
        <w:tc>
          <w:tcPr>
            <w:tcW w:type="dxa" w:w="1728"/>
            <w:vAlign w:val="top"/>
          </w:tcPr>
          <w:p>
            <w:r/>
            <w:r>
              <w:rPr>
                <w:b/>
                <w:color w:val="2563EB"/>
                <w:sz w:val="14"/>
              </w:rPr>
              <w:t>Search</w:t>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r>
      <w:tr>
        <w:tc>
          <w:tcPr>
            <w:tcW w:type="dxa" w:w="1728"/>
            <w:vAlign w:val="top"/>
          </w:tcPr>
          <w:p>
            <w:r/>
            <w:r>
              <w:rPr>
                <w:b/>
                <w:color w:val="2563EB"/>
                <w:sz w:val="14"/>
              </w:rPr>
              <w:t>Compare</w:t>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r>
      <w:tr>
        <w:tc>
          <w:tcPr>
            <w:tcW w:type="dxa" w:w="1728"/>
            <w:vAlign w:val="top"/>
          </w:tcPr>
          <w:p>
            <w:r/>
            <w:r>
              <w:rPr>
                <w:b/>
                <w:color w:val="2563EB"/>
                <w:sz w:val="14"/>
              </w:rPr>
              <w:t>Inventory</w:t>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r>
      <w:tr>
        <w:tc>
          <w:tcPr>
            <w:tcW w:type="dxa" w:w="1728"/>
            <w:vAlign w:val="top"/>
          </w:tcPr>
          <w:p>
            <w:r/>
            <w:r>
              <w:rPr>
                <w:b/>
                <w:color w:val="2563EB"/>
                <w:sz w:val="14"/>
              </w:rPr>
              <w:t>Cart</w:t>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r>
      <w:tr>
        <w:tc>
          <w:tcPr>
            <w:tcW w:type="dxa" w:w="1728"/>
            <w:vAlign w:val="top"/>
          </w:tcPr>
          <w:p>
            <w:r/>
            <w:r>
              <w:rPr>
                <w:b/>
                <w:color w:val="2563EB"/>
                <w:sz w:val="14"/>
              </w:rPr>
              <w:t>Payment</w:t>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r>
      <w:tr>
        <w:tc>
          <w:tcPr>
            <w:tcW w:type="dxa" w:w="1728"/>
            <w:vAlign w:val="top"/>
          </w:tcPr>
          <w:p>
            <w:r/>
            <w:r>
              <w:rPr>
                <w:b/>
                <w:color w:val="2563EB"/>
                <w:sz w:val="14"/>
              </w:rPr>
              <w:t>Delivery</w:t>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r>
      <w:tr>
        <w:tc>
          <w:tcPr>
            <w:tcW w:type="dxa" w:w="1728"/>
            <w:vAlign w:val="top"/>
          </w:tcPr>
          <w:p>
            <w:r/>
            <w:r>
              <w:rPr>
                <w:b/>
                <w:color w:val="2563EB"/>
                <w:sz w:val="14"/>
              </w:rPr>
              <w:t>AI Assistant</w:t>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c>
          <w:tcPr>
            <w:tcW w:type="dxa" w:w="1728"/>
            <w:vAlign w:val="top"/>
          </w:tcPr>
          <w:p>
            <w:r/>
            <w:r>
              <w:rPr>
                <w:b w:val="0"/>
                <w:color w:val="111827"/>
                <w:sz w:val="14"/>
              </w:rPr>
              <w:br/>
            </w:r>
          </w:p>
        </w:tc>
      </w:tr>
    </w:tbl>
    <w:p/>
    <w:tbl>
      <w:tblPr>
        <w:tblW w:type="auto" w:w="0"/>
        <w:jc w:val="center"/>
        <w:tblLayout w:type="autofit"/>
        <w:tblLook w:firstColumn="1" w:firstRow="1" w:lastColumn="0" w:lastRow="0" w:noHBand="0" w:noVBand="1" w:val="04A0"/>
      </w:tblPr>
      <w:tblGrid>
        <w:gridCol w:w="10368"/>
      </w:tblGrid>
      <w:tr>
        <w:tc>
          <w:tcPr>
            <w:tcW w:type="dxa" w:w="10368"/>
            <w:vAlign w:val="top"/>
            <w:shd w:fill="FFFBEB"/>
          </w:tcPr>
          <w:p>
            <w:r/>
            <w:r>
              <w:rPr>
                <w:b/>
                <w:color w:val="92400E"/>
                <w:sz w:val="20"/>
              </w:rPr>
              <w:t>Prompt Starter</w:t>
            </w:r>
          </w:p>
        </w:tc>
      </w:tr>
      <w:tr>
        <w:tc>
          <w:tcPr>
            <w:tcW w:type="dxa" w:w="10368"/>
            <w:vAlign w:val="top"/>
            <w:shd w:fill="F9FAFB"/>
          </w:tcPr>
          <w:p>
            <w:r/>
            <w:r>
              <w:rPr>
                <w:b w:val="0"/>
                <w:color w:val="111827"/>
                <w:sz w:val="18"/>
              </w:rPr>
              <w:t>Create a customer journey map for the ShopSmart AI Commerce case. For each stage, identify latency expectation, consistency/freshness need, failure consequence, sensitive data exposure, and potential AI opportunity or risk. Mark assumptions separately.</w:t>
            </w:r>
          </w:p>
        </w:tc>
      </w:tr>
    </w:tbl>
    <w:p/>
    <w:p>
      <w:pPr>
        <w:pStyle w:val="Heading1"/>
      </w:pPr>
      <w:r>
        <w:rPr>
          <w:color w:val="172033"/>
        </w:rPr>
        <w:t>Lab 1C — Critique and Improve the AI Output</w:t>
      </w:r>
    </w:p>
    <w:tbl>
      <w:tblPr>
        <w:tblW w:type="auto" w:w="0"/>
        <w:jc w:val="center"/>
        <w:tblLayout w:type="autofit"/>
        <w:tblLook w:firstColumn="1" w:firstRow="1" w:lastColumn="0" w:lastRow="0" w:noHBand="0" w:noVBand="1" w:val="04A0"/>
      </w:tblPr>
      <w:tblGrid>
        <w:gridCol w:w="10368"/>
      </w:tblGrid>
      <w:tr>
        <w:tc>
          <w:tcPr>
            <w:tcW w:type="dxa" w:w="10368"/>
            <w:vAlign w:val="top"/>
            <w:shd w:fill="FFFBEB"/>
          </w:tcPr>
          <w:p>
            <w:r/>
            <w:r>
              <w:rPr>
                <w:b/>
                <w:color w:val="92400E"/>
                <w:sz w:val="20"/>
              </w:rPr>
              <w:t>Critique Prompt</w:t>
            </w:r>
          </w:p>
        </w:tc>
      </w:tr>
      <w:tr>
        <w:tc>
          <w:tcPr>
            <w:tcW w:type="dxa" w:w="10368"/>
            <w:vAlign w:val="top"/>
            <w:shd w:fill="F9FAFB"/>
          </w:tcPr>
          <w:p>
            <w:r/>
            <w:r>
              <w:rPr>
                <w:b w:val="0"/>
                <w:color w:val="111827"/>
                <w:sz w:val="18"/>
              </w:rPr>
              <w:t>Critique the problem brief you generated. Identify assumptions presented as facts, requirements that are vague or not measurable, missing stakeholders, weak NFRs, contradictions, and questions still unanswered. Return a prioritized improvement list.</w:t>
            </w:r>
          </w:p>
        </w:tc>
      </w:tr>
    </w:tbl>
    <w:p/>
    <w:p>
      <w:r>
        <w:t>Improvement notes:</w:t>
      </w:r>
    </w:p>
    <w:p>
      <w:r>
        <w:rPr>
          <w:b/>
        </w:rPr>
        <w:t>Issue found:</w:t>
      </w:r>
      <w:r>
        <w:t xml:space="preserve"> ________________________________________________</w:t>
      </w:r>
    </w:p>
    <w:p>
      <w:r>
        <w:rPr>
          <w:b/>
        </w:rPr>
        <w:t>Architecture impact:</w:t>
      </w:r>
      <w:r>
        <w:t xml:space="preserve"> ________________________________________________</w:t>
      </w:r>
    </w:p>
    <w:p>
      <w:r>
        <w:rPr>
          <w:b/>
        </w:rPr>
        <w:t>Improvement made:</w:t>
      </w:r>
      <w:r>
        <w:t xml:space="preserve"> ________________________________________________</w:t>
      </w:r>
    </w:p>
    <w:p>
      <w:r>
        <w:rPr>
          <w:b/>
        </w:rPr>
        <w:t>Question to ask stakeholder:</w:t>
      </w:r>
      <w:r>
        <w:t xml:space="preserve"> ________________________________________________</w:t>
      </w:r>
    </w:p>
    <w:p>
      <w:r>
        <w:br w:type="page"/>
      </w:r>
    </w:p>
    <w:p>
      <w:pPr>
        <w:pStyle w:val="Heading1"/>
      </w:pPr>
      <w:r>
        <w:rPr>
          <w:color w:val="172033"/>
        </w:rPr>
        <w:t>Act 1 Review Checklist</w:t>
      </w:r>
    </w:p>
    <w:p>
      <w:pPr/>
      <w:r>
        <w:rPr>
          <w:sz w:val="22"/>
        </w:rPr>
        <w:t xml:space="preserve">☐ </w:t>
      </w:r>
      <w:r>
        <w:t>Business outcomes are measurable.</w:t>
      </w:r>
    </w:p>
    <w:p>
      <w:pPr/>
      <w:r>
        <w:rPr>
          <w:sz w:val="22"/>
        </w:rPr>
        <w:t xml:space="preserve">☐ </w:t>
      </w:r>
      <w:r>
        <w:t>Facts are separated from assumptions.</w:t>
      </w:r>
    </w:p>
    <w:p>
      <w:pPr/>
      <w:r>
        <w:rPr>
          <w:sz w:val="22"/>
        </w:rPr>
        <w:t xml:space="preserve">☐ </w:t>
      </w:r>
      <w:r>
        <w:t>Functional requirements do not prematurely choose technologies.</w:t>
      </w:r>
    </w:p>
    <w:p>
      <w:pPr/>
      <w:r>
        <w:rPr>
          <w:sz w:val="22"/>
        </w:rPr>
        <w:t xml:space="preserve">☐ </w:t>
      </w:r>
      <w:r>
        <w:t>NFRs include latency, scale, availability, consistency, security, cost, and observability where relevant.</w:t>
      </w:r>
    </w:p>
    <w:p>
      <w:pPr/>
      <w:r>
        <w:rPr>
          <w:sz w:val="22"/>
        </w:rPr>
        <w:t xml:space="preserve">☐ </w:t>
      </w:r>
      <w:r>
        <w:t>Customer journey reveals architecture pressure.</w:t>
      </w:r>
    </w:p>
    <w:p>
      <w:pPr/>
      <w:r>
        <w:rPr>
          <w:sz w:val="22"/>
        </w:rPr>
        <w:t xml:space="preserve">☐ </w:t>
      </w:r>
      <w:r>
        <w:t>Conflicting requirements are visible.</w:t>
      </w:r>
    </w:p>
    <w:p>
      <w:pPr/>
      <w:r>
        <w:rPr>
          <w:sz w:val="22"/>
        </w:rPr>
        <w:t xml:space="preserve">☐ </w:t>
      </w:r>
      <w:r>
        <w:t>Unknowns are explicit.</w:t>
      </w:r>
    </w:p>
    <w:p>
      <w:pPr/>
      <w:r>
        <w:rPr>
          <w:sz w:val="22"/>
        </w:rPr>
        <w:t xml:space="preserve">☐ </w:t>
      </w:r>
      <w:r>
        <w:t>The brief can feed Act 2 design.</w:t>
      </w:r>
    </w:p>
    <w:p>
      <w:pPr>
        <w:pStyle w:val="Heading1"/>
      </w:pPr>
      <w:r>
        <w:rPr>
          <w:color w:val="172033"/>
        </w:rPr>
        <w:t>Final Act 1 Artifact</w:t>
      </w:r>
    </w:p>
    <w:p>
      <w:r>
        <w:t>Save your cleaned Architecture Problem Brief. It will be used in Act 2 to create the workload model, capability decomposition, architecture diagram, and failure model.</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