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50"/>
        </w:rPr>
        <w:t>Act 2 DESIGN — Full Solution Guide</w:t>
      </w:r>
    </w:p>
    <w:p>
      <w:pPr>
        <w:jc w:val="center"/>
      </w:pPr>
      <w:r>
        <w:rPr>
          <w:i/>
          <w:sz w:val="22"/>
        </w:rPr>
        <w:t>Model answers for workload, capability boundaries, architecture v1, and failure simulation</w:t>
      </w:r>
    </w:p>
    <w:p>
      <w:pPr>
        <w:jc w:val="center"/>
      </w:pPr>
      <w:r>
        <w:rPr>
          <w:b/>
          <w:sz w:val="18"/>
        </w:rPr>
        <w:t>Act 2 — DESIGN | ChatGPT for Software Architects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F3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</w:rPr>
              <w:t xml:space="preserve">How to use this guide — </w:t>
            </w:r>
            <w:r>
              <w:t>This is a reference solution, not the only correct architecture. The workshop’s grading standard is evidence, explicit assumptions, boundary rationale, and failure-aware design — not matching a diagram exactly.</w:t>
            </w:r>
          </w:p>
        </w:tc>
      </w:tr>
    </w:tbl>
    <w:p/>
    <w:p>
      <w:pPr>
        <w:pStyle w:val="Heading1"/>
      </w:pPr>
      <w:r>
        <w:t>1. Scenario and source constraints</w:t>
      </w:r>
    </w:p>
    <w:p>
      <w:r>
        <w:t>ShopSmart wants an AI shopping assistant that can help a customer find red Michael Jordan men’s shoes, size 12, under $100, deliverable to Boston within two days. The provided workshop scenario also includes complaints about irrelevant search results, stale inventory, slow checkout during promotions, and inaccurate delivery promises.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6D28D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Given input</w:t>
            </w:r>
          </w:p>
        </w:tc>
        <w:tc>
          <w:tcPr>
            <w:tcW w:type="dxa" w:w="3456"/>
            <w:shd w:fill="6D28D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Value</w:t>
            </w:r>
          </w:p>
        </w:tc>
        <w:tc>
          <w:tcPr>
            <w:tcW w:type="dxa" w:w="3456"/>
            <w:shd w:fill="6D28D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How to treat it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Monthly users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50M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Given workshop assumption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Daily active users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5M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Given workshop assumption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Peak multiplier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5×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Given workshop assumption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Searches per active user/day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20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Given workshop assumption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Catalog size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50M SKUs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Given workshop assumption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Inventory update peak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100K updates/sec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Given workshop assumption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Search P95 target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Not provided in workbook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Must be proposed and labeled as a design target, not a fact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Order conversion rate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Not provided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Do not silently invent; use a scenario assumption only when needed</w:t>
            </w:r>
          </w:p>
        </w:tc>
      </w:tr>
    </w:tbl>
    <w:p/>
    <w:p>
      <w:pPr>
        <w:pStyle w:val="Heading1"/>
      </w:pPr>
      <w:r>
        <w:t>2. Lab 2A — Workload Model: model solution</w:t>
      </w:r>
    </w:p>
    <w:p>
      <w:r>
        <w:t>The purpose of this lab is to turn demand into architecture pressure before choosing technology. The calculations below use only the given assumptions unless explicitly labeled as illustrative.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6D28D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592"/>
            <w:shd w:fill="6D28D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Model value</w:t>
            </w:r>
          </w:p>
        </w:tc>
        <w:tc>
          <w:tcPr>
            <w:tcW w:type="dxa" w:w="2592"/>
            <w:shd w:fill="6D28D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Basis</w:t>
            </w:r>
          </w:p>
        </w:tc>
        <w:tc>
          <w:tcPr>
            <w:tcW w:type="dxa" w:w="2592"/>
            <w:shd w:fill="6D28D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Architecture pressure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Daily search requests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100,000,000/day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5M DAU × 20 searches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Search tier, cache, index capacity, telemetry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Average search QPS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≈1,157 QPS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100M ÷ 86,400 sec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Baseline steady-state sizing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Peak search QPS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≈5,787 QPS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Average × 5 peak multiplier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Burst handling, autoscaling, rate protection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Inventory event peak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100,000 events/sec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Given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Streaming ingestion, partitioning, backpressure, freshness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Catalog cardinality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50M SKUs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Given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Index/storage footprint, sharding, cache strategy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Illustrative catalog raw size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≈50 GB if 1 KB/SKU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Illustrative payload assumption only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Search index will be larger than raw source due to fields/inverted/vector structures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Illustrative semantic vector size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≈153.6 GB at 768 dims × 4 bytes × 50M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Illustrative embedding shape only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Vector memory/storage can dominate; compression/quantization may matter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Search latency objective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Propose e.g. P95 &lt; 300 ms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Workshop design target, not given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Limits fan-out, reranking depth, and external calls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FD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</w:rPr>
              <w:t xml:space="preserve">Architect answer — </w:t>
            </w:r>
            <w:r>
              <w:t>The number most likely to change the design if wrong by 10× is the 100K inventory updates/sec peak because it forces a sustained high-throughput freshness path. A 10× search peak also matters, but search can often degrade more gracefully using caching, retrieval limits, and ranking simplification.</w:t>
            </w:r>
          </w:p>
        </w:tc>
      </w:tr>
    </w:tbl>
    <w:p/>
    <w:p>
      <w:pPr>
        <w:pStyle w:val="Heading2"/>
      </w:pPr>
      <w:r>
        <w:t>3. Architecture pressure summary</w:t>
      </w:r>
    </w:p>
    <w:p>
      <w:pPr>
        <w:pStyle w:val="ListBullet"/>
      </w:pPr>
      <w:r>
        <w:t>Search is read-heavy and latency-sensitive; separate retrieval/ranking scaling from transactional order processing.</w:t>
      </w:r>
    </w:p>
    <w:p>
      <w:pPr>
        <w:pStyle w:val="ListBullet"/>
      </w:pPr>
      <w:r>
        <w:t>Inventory is write/update-heavy and freshness-sensitive; avoid rebuilding search state synchronously per update.</w:t>
      </w:r>
    </w:p>
    <w:p>
      <w:pPr>
        <w:pStyle w:val="ListBullet"/>
      </w:pPr>
      <w:r>
        <w:t>Payment correctness dominates speed; retries require idempotency and state reconciliation.</w:t>
      </w:r>
    </w:p>
    <w:p>
      <w:pPr>
        <w:pStyle w:val="ListBullet"/>
      </w:pPr>
      <w:r>
        <w:t>Delivery promise accuracy depends on external carrier/vendor signals; model uncertainty and stale data explicitly.</w:t>
      </w:r>
    </w:p>
    <w:p>
      <w:pPr>
        <w:pStyle w:val="ListBullet"/>
      </w:pPr>
      <w:r>
        <w:t>AI assistant orchestration must not become a single synchronous dependency chain across every backend.</w:t>
      </w:r>
    </w:p>
    <w:p>
      <w:pPr>
        <w:pStyle w:val="Heading1"/>
      </w:pPr>
      <w:r>
        <w:t>4. Lab 2B — Capability Map and Boundary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6D28D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1728"/>
            <w:shd w:fill="6D28D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Primary data ownership</w:t>
            </w:r>
          </w:p>
        </w:tc>
        <w:tc>
          <w:tcPr>
            <w:tcW w:type="dxa" w:w="1728"/>
            <w:shd w:fill="6D28D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Scale/failure pressure</w:t>
            </w:r>
          </w:p>
        </w:tc>
        <w:tc>
          <w:tcPr>
            <w:tcW w:type="dxa" w:w="1728"/>
            <w:shd w:fill="6D28D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Boundary choice</w:t>
            </w:r>
          </w:p>
        </w:tc>
        <w:tc>
          <w:tcPr>
            <w:tcW w:type="dxa" w:w="1728"/>
            <w:shd w:fill="6D28D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Rationale</w:t>
            </w:r>
          </w:p>
        </w:tc>
        <w:tc>
          <w:tcPr>
            <w:tcW w:type="dxa" w:w="1728"/>
            <w:shd w:fill="6D28D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Primary risk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Product Catalog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Product master/read model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Large read volume; moderate updates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Separate service now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Clear domain ownership and independent read scaling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Catalog/search divergence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Search Retrieval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Search index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High QPS, latency sensitive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Separate service now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Independent scaling and specialized retrieval lifecycle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Index freshness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Ranking/Personalization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Ranking features/models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CPU/model latency; experimentation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Separate service now or isolated module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Independent model rollout and fallback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Latency/cost drift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Inventory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Available-to-promise state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100K updates/sec peak; freshness critical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Separate service now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Distinct write pattern, data ownership, failure semantics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Stale availability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Pricing/Promotions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Price and offer rules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Hot during promotions; correctness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Module now, extract later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Keep coupled until scale/team ownership justifies split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Duplicate rules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Cart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Ephemeral cart state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High write/read; user scoped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Separate service now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Independent session-like lifecycle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Lost/stale cart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Order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Order aggregate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Transactional consistency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Separate service now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Strong ownership and lifecycle boundary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Partial order state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Payment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Payment intent/status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External dependencies; financial correctness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Separate service / bounded context now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Isolation, compliance, idempotency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Duplicate charge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Fraud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Risk signals/decisions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Latency + model/rules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External/separate dependency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Specialized ownership and controls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False decline / timeout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Fulfillment/Delivery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Shipment promise/status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External dependency, eventual updates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Separate service now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Independent external integration and retry patterns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Bad promise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Notification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Message delivery state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Async, bursty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Separate service later / worker now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Natural async boundary; can start as worker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Notification loss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AI Shopping Assistant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Conversation/task state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Model latency, tool fan-out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Orchestration service now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Separates AI policy/tooling from core transaction systems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Hallucination/tool overreach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ED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</w:rPr>
              <w:t xml:space="preserve">Boundary best practice — </w:t>
            </w:r>
            <w:r>
              <w:t>A capability is not automatically a microservice. Extract when data ownership, independent scale, failure isolation, security/compliance, or team ownership justify a runtime boundary. Pricing and notification are intentionally shown as candidates that may remain modules/workers initially.</w:t>
            </w:r>
          </w:p>
        </w:tc>
      </w:tr>
    </w:tbl>
    <w:p/>
    <w:p>
      <w:pPr>
        <w:pStyle w:val="Heading1"/>
      </w:pPr>
      <w:r>
        <w:t>5. Lab 2C — Architecture v1: reference design</w:t>
      </w:r>
    </w:p>
    <w:p>
      <w:r>
        <w:t>Reference logical architecture:</w:t>
      </w:r>
    </w:p>
    <w:p>
      <w:pPr>
        <w:pStyle w:val="ListBullet"/>
      </w:pPr>
      <w:r>
        <w:t>Clients → Edge/CDN → API Gateway/BFF</w:t>
      </w:r>
    </w:p>
    <w:p>
      <w:pPr>
        <w:pStyle w:val="ListBullet"/>
      </w:pPr>
      <w:r>
        <w:t>API Gateway → AI Shopping Assistant Orchestrator</w:t>
      </w:r>
    </w:p>
    <w:p>
      <w:pPr>
        <w:pStyle w:val="ListBullet"/>
      </w:pPr>
      <w:r>
        <w:t>Orchestrator → Search Retrieval + Ranking + Catalog + Inventory + Delivery Promise tools</w:t>
      </w:r>
    </w:p>
    <w:p>
      <w:pPr>
        <w:pStyle w:val="ListBullet"/>
      </w:pPr>
      <w:r>
        <w:t>Checkout path → Cart → Order → Payment/Fraud → Fulfillment</w:t>
      </w:r>
    </w:p>
    <w:p>
      <w:pPr>
        <w:pStyle w:val="ListBullet"/>
      </w:pPr>
      <w:r>
        <w:t>Inventory change stream → Event Bus → Inventory consumers + Search indexing pipeline</w:t>
      </w:r>
    </w:p>
    <w:p>
      <w:pPr>
        <w:pStyle w:val="ListBullet"/>
      </w:pPr>
      <w:r>
        <w:t>Order/Payment/Fulfillment events → Event Bus → Notification + analytics/observability</w:t>
      </w:r>
    </w:p>
    <w:p>
      <w:pPr>
        <w:pStyle w:val="ListBullet"/>
      </w:pPr>
      <w:r>
        <w:t>Search Retrieval → lexical index + vector index (hybrid retrieval); Ranking reranks bounded candidate set</w:t>
      </w:r>
    </w:p>
    <w:p>
      <w:pPr>
        <w:pStyle w:val="ListBullet"/>
      </w:pPr>
      <w:r>
        <w:t>Operational telemetry → logs, metrics, traces, AI/tool-call telemetry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6D28D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592"/>
            <w:shd w:fill="6D28D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2592"/>
            <w:shd w:fill="6D28D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Store / integration</w:t>
            </w:r>
          </w:p>
        </w:tc>
        <w:tc>
          <w:tcPr>
            <w:tcW w:type="dxa" w:w="2592"/>
            <w:shd w:fill="6D28D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Key risk / control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API Gateway/BFF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Authn, routing, client shaping, coarse rate limits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Identity provider, internal APIs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Avoid business logic in gateway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AI Shopping Assistant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Intent, task plan, bounded tool calls, response synthesis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Search, inventory, delivery tools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Tool authority; latency; fallback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Search Retrieval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Lexical/semantic candidate retrieval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Search + vector indexes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Freshness and latency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Ranking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Rerank candidates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Features/model service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Cost and tail latency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Catalog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Product truth/read APIs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Catalog DB/object store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Data divergence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Inventory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Availability truth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Partitioned inventory store + stream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Freshness/backpressure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Cart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Mutable customer cart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Low-latency state store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Expiration/consistency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Order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Order state machine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Transactional DB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State transition correctness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Payment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Payment intent, idempotency, provider integration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Payment DB + provider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Duplicate charges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Fulfillment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Shipment planning/promise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Carrier/vendor APIs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Third-party outage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Event Bus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Decouple high-volume state change propagation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Kafka/PubSub-class capability (technology TBD)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Lag, poison events, replay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Observability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System + AI operating evidence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Metrics/logs/traces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Missing correlation IDs</w:t>
            </w:r>
          </w:p>
        </w:tc>
      </w:tr>
    </w:tbl>
    <w:p/>
    <w:p>
      <w:pPr>
        <w:pStyle w:val="Heading2"/>
      </w:pPr>
      <w:r>
        <w:t>6. Principal architecture review — expected critique</w:t>
      </w:r>
    </w:p>
    <w:p>
      <w:pPr>
        <w:pStyle w:val="ListBullet"/>
      </w:pPr>
      <w:r>
        <w:t>AI orchestrator must not serially call every backend; use bounded fan-out, time budgets, caching, and partial-result strategies.</w:t>
      </w:r>
    </w:p>
    <w:p>
      <w:pPr>
        <w:pStyle w:val="ListBullet"/>
      </w:pPr>
      <w:r>
        <w:t>Search should not query transactional inventory row-by-row at retrieval scale; carry coarse availability into the search read model and confirm exact availability before commitment.</w:t>
      </w:r>
    </w:p>
    <w:p>
      <w:pPr>
        <w:pStyle w:val="ListBullet"/>
      </w:pPr>
      <w:r>
        <w:t>Payment timeout handling needs a payment state machine plus idempotency key and provider reconciliation; network timeout is not proof of failure.</w:t>
      </w:r>
    </w:p>
    <w:p>
      <w:pPr>
        <w:pStyle w:val="ListBullet"/>
      </w:pPr>
      <w:r>
        <w:t>Inventory stream requires lag monitoring, partition strategy, replay, poison-event handling, and a freshness SLO.</w:t>
      </w:r>
    </w:p>
    <w:p>
      <w:pPr>
        <w:pStyle w:val="ListBullet"/>
      </w:pPr>
      <w:r>
        <w:t>Delivery promise should expose confidence/freshness; inaccurate precision is worse than a conservative promise.</w:t>
      </w:r>
    </w:p>
    <w:p>
      <w:pPr>
        <w:pStyle w:val="ListBullet"/>
      </w:pPr>
      <w:r>
        <w:t>Async events reduce coupling but create duplicate/out-of-order handling requirements.</w:t>
      </w:r>
    </w:p>
    <w:p>
      <w:pPr>
        <w:pStyle w:val="ListBullet"/>
      </w:pPr>
      <w:r>
        <w:t>Architecture needs explicit ownership for source-of-truth data and derived read models.</w:t>
      </w:r>
    </w:p>
    <w:p>
      <w:pPr>
        <w:pStyle w:val="ListBullet"/>
      </w:pPr>
      <w:r>
        <w:t>AI response generation needs safe fallback when retrieval/tooling fails; the core commerce transaction must remain deterministic.</w:t>
      </w:r>
    </w:p>
    <w:p>
      <w:pPr>
        <w:pStyle w:val="ListBullet"/>
      </w:pPr>
      <w:r>
        <w:t>Peak promotion traffic needs graceful degradation: reduce personalization/reranking depth before compromising checkout correctness.</w:t>
      </w:r>
    </w:p>
    <w:p>
      <w:pPr>
        <w:pStyle w:val="ListBullet"/>
      </w:pPr>
      <w:r>
        <w:t>Cost controls should measure model/tool cost per shopping task, not only infrastructure utilization.</w:t>
      </w:r>
    </w:p>
    <w:p>
      <w:pPr>
        <w:pStyle w:val="Heading1"/>
      </w:pPr>
      <w:r>
        <w:t>7. Lab 2D — Failure Simulation: full reference solutions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6D28D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Failure</w:t>
            </w:r>
          </w:p>
        </w:tc>
        <w:tc>
          <w:tcPr>
            <w:tcW w:type="dxa" w:w="2074"/>
            <w:shd w:fill="6D28D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Propagation path</w:t>
            </w:r>
          </w:p>
        </w:tc>
        <w:tc>
          <w:tcPr>
            <w:tcW w:type="dxa" w:w="2074"/>
            <w:shd w:fill="6D28D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User/business impact</w:t>
            </w:r>
          </w:p>
        </w:tc>
        <w:tc>
          <w:tcPr>
            <w:tcW w:type="dxa" w:w="2074"/>
            <w:shd w:fill="6D28D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Design response</w:t>
            </w:r>
          </w:p>
        </w:tc>
        <w:tc>
          <w:tcPr>
            <w:tcW w:type="dxa" w:w="2074"/>
            <w:shd w:fill="6D28D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Metric to watch</w:t>
            </w:r>
          </w:p>
        </w:tc>
      </w:tr>
      <w:tr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Redis/cache outage</w:t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Cache miss storm → search/catalog/price backends receive direct load → latency rises → cascading timeout risk</w:t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Slower search/product pages; possible partial personalization</w:t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Circuit breaker; cache stampede protection; request coalescing; stale-while-revalidate where safe; rate protection; precomputed hot keys</w:t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Cache hit rate, backend QPS, P95/P99 latency, timeout rate</w:t>
            </w:r>
          </w:p>
        </w:tc>
      </w:tr>
      <w:tr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Inventory events delayed 8 minutes</w:t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Stream lag → search read model stale → AI/search shows unavailable items → checkout confirmation rejects</w:t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Trust erosion; failed carts; inaccurate promise</w:t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Freshness timestamp; lag SLO; surface “availability needs confirmation”; confirm inventory synchronously before order reservation; backpressure/replay</w:t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Consumer lag, inventory freshness age, reservation failure rate</w:t>
            </w:r>
          </w:p>
        </w:tc>
      </w:tr>
      <w:tr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Payment timeout after charge succeeds</w:t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Client/service timeout → retry without idempotency → possible duplicate charge → inconsistent order/payment state</w:t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Duplicate charge or “order failed” despite payment success</w:t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Idempotency key; payment intent state machine; provider lookup/reconciliation; outbox/event handoff; user sees processing state</w:t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Duplicate-charge rate, unresolved payment intents, provider reconciliation backlog</w:t>
            </w:r>
          </w:p>
        </w:tc>
      </w:tr>
      <w:tr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Search traffic 20× on Black Friday</w:t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Traffic burst → retrieval/ranking saturation → model/reranker queueing → timeout fan-out to assistant</w:t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Slow/failed discovery; abandonment</w:t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Autoscaling; admission control; cache hot queries; lexical-first fallback; reduce rerank depth/personalization; async noncritical enrichments</w:t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Search QPS, saturation, queue depth, P95/P99, fallback rate</w:t>
            </w:r>
          </w:p>
        </w:tc>
      </w:tr>
      <w:tr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Vendor delivery API slow/unavailable</w:t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Delivery promise call stalls request chain → assistant/product page waits → thread/connection exhaustion</w:t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No delivery promise or slow response</w:t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Strict timeout; circuit breaker; cached historical estimate; confidence/freshness label; async refresh; bulkhead external connector</w:t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Vendor latency/error rate, circuit state, fallback rate, promise accuracy</w:t>
            </w:r>
          </w:p>
        </w:tc>
      </w:tr>
    </w:tbl>
    <w:p/>
    <w:p>
      <w:pPr>
        <w:pStyle w:val="Heading1"/>
      </w:pPr>
      <w:r>
        <w:t>8. Revised architecture after failure testing</w:t>
      </w:r>
    </w:p>
    <w:p>
      <w:pPr>
        <w:pStyle w:val="ListBullet"/>
      </w:pPr>
      <w:r>
        <w:t>Add event-driven inventory freshness pipeline with lag SLO and exact inventory confirmation at reservation/checkout.</w:t>
      </w:r>
    </w:p>
    <w:p>
      <w:pPr>
        <w:pStyle w:val="ListBullet"/>
      </w:pPr>
      <w:r>
        <w:t>Add payment idempotency, reconciliation, and explicit “processing/unknown” state rather than treating timeout as failure.</w:t>
      </w:r>
    </w:p>
    <w:p>
      <w:pPr>
        <w:pStyle w:val="ListBullet"/>
      </w:pPr>
      <w:r>
        <w:t>Add search degradation ladder: full hybrid+rerank → hybrid without personalization → lexical/cache fallback.</w:t>
      </w:r>
    </w:p>
    <w:p>
      <w:pPr>
        <w:pStyle w:val="ListBullet"/>
      </w:pPr>
      <w:r>
        <w:t>Add external dependency bulkheads, strict timeouts, circuit breakers, cached fallback data, and freshness indicators.</w:t>
      </w:r>
    </w:p>
    <w:p>
      <w:pPr>
        <w:pStyle w:val="ListBullet"/>
      </w:pPr>
      <w:r>
        <w:t>Add end-to-end correlation IDs across API, AI orchestration, tool calls, events, payment, and fulfillment.</w:t>
      </w:r>
    </w:p>
    <w:p>
      <w:pPr>
        <w:pStyle w:val="ListBullet"/>
      </w:pPr>
      <w:r>
        <w:t>Add source-of-truth ownership map and derived read-model freshness metrics.</w:t>
      </w:r>
    </w:p>
    <w:p>
      <w:pPr>
        <w:pStyle w:val="Heading1"/>
      </w:pPr>
      <w:r>
        <w:t>9. Decision backlog for Act 3 ADRs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6D28D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Decision to formalize</w:t>
            </w:r>
          </w:p>
        </w:tc>
        <w:tc>
          <w:tcPr>
            <w:tcW w:type="dxa" w:w="3456"/>
            <w:shd w:fill="6D28D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Why it needs an ADR</w:t>
            </w:r>
          </w:p>
        </w:tc>
        <w:tc>
          <w:tcPr>
            <w:tcW w:type="dxa" w:w="3456"/>
            <w:shd w:fill="6D28D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Evidence needed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Hybrid search strategy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Quality/latency/cost trade-off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Benchmark BM25 vs vector vs hybrid + rerank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Order datastore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Transactional correctness vs scale/ops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Access patterns, transaction scope, recovery needs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Inventory freshness model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Consistency vs throughput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Freshness SLO, peak updates, reservation semantics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Payment workflow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Correctness and failure recovery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Provider behavior, idempotency contract, reconciliation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AI assistant tool authority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Autonomy vs blast radius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Allowed tools, time budgets, approval/confirmation rules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Service boundaries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Operational independence vs complexity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Team ownership, deployment cadence, failure isolation</w:t>
            </w:r>
          </w:p>
        </w:tc>
      </w:tr>
    </w:tbl>
    <w:p/>
    <w:p>
      <w:pPr>
        <w:pStyle w:val="Heading1"/>
      </w:pPr>
      <w:r>
        <w:t>10. What a strong participant answer looks like</w:t>
      </w:r>
    </w:p>
    <w:p>
      <w:pPr>
        <w:pStyle w:val="ListBullet"/>
      </w:pPr>
      <w:r>
        <w:t>Numbers show formulas and assumptions separately.</w:t>
      </w:r>
    </w:p>
    <w:p>
      <w:pPr>
        <w:pStyle w:val="ListBullet"/>
      </w:pPr>
      <w:r>
        <w:t>Architecture choices are justified by pressures, not vendor preference.</w:t>
      </w:r>
    </w:p>
    <w:p>
      <w:pPr>
        <w:pStyle w:val="ListBullet"/>
      </w:pPr>
      <w:r>
        <w:t>At least one AI-suggested service boundary is rejected or deferred with reasoning.</w:t>
      </w:r>
    </w:p>
    <w:p>
      <w:pPr>
        <w:pStyle w:val="ListBullet"/>
      </w:pPr>
      <w:r>
        <w:t>Source-of-truth data ownership is explicit.</w:t>
      </w:r>
    </w:p>
    <w:p>
      <w:pPr>
        <w:pStyle w:val="ListBullet"/>
      </w:pPr>
      <w:r>
        <w:t>Failures are traced through dependencies rather than handled as isolated component failures.</w:t>
      </w:r>
    </w:p>
    <w:p>
      <w:pPr>
        <w:pStyle w:val="ListBullet"/>
      </w:pPr>
      <w:r>
        <w:t>Mitigations include observable signals and a degraded behavior, not only “retry.”</w:t>
      </w:r>
    </w:p>
    <w:p>
      <w:pPr>
        <w:pStyle w:val="ListBullet"/>
      </w:pPr>
      <w:r>
        <w:t>Open decisions are carried into Act 3 rather than hidden inside the diagram.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Act 2 DESIGN • Build the System with AI • Workshop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