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wlr3u1me2ak" w:id="0"/>
      <w:bookmarkEnd w:id="0"/>
      <w:r w:rsidDel="00000000" w:rsidR="00000000" w:rsidRPr="00000000">
        <w:rPr>
          <w:rtl w:val="0"/>
        </w:rPr>
        <w:t xml:space="preserve">Evaluate your current company/client’s architecture placing components in each of the areas: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yhjl6rkflge" w:id="1"/>
      <w:bookmarkEnd w:id="1"/>
      <w:r w:rsidDel="00000000" w:rsidR="00000000" w:rsidRPr="00000000">
        <w:rPr>
          <w:rtl w:val="0"/>
        </w:rPr>
        <w:t xml:space="preserve">Identify the weakest link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temfelz6lr3z" w:id="2"/>
      <w:bookmarkEnd w:id="2"/>
      <w:r w:rsidDel="00000000" w:rsidR="00000000" w:rsidRPr="00000000">
        <w:rPr>
          <w:rtl w:val="0"/>
        </w:rPr>
        <w:t xml:space="preserve">Evaluate Global Rollout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