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ading=h.etdxxu1y9f5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 1: Becoming an AI-Ready Enterprise Architect in E-Commerce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vice0ksuisv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5pxzzqj8jco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will help participants: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evolving role of an Enterprise Architect (EA) in AI-enabled e-commerce organizations.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key capabilities required to drive AI-first digital transformation.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the foundational steps to create a future-ready Enterprise Architecture strategy that integrates Generative AI, autonomous agents, and data-driven decision-making.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ze69fe4tnjd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A: Core Qualities of an AI-Ready Enterprise Architect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eading=h.5qw807sawew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 current trends in e-commerce, AI, and enterprise transformation. Based on your insights, list and explain the top five qualities or skills needed to succeed as an EA in an AI-first e-commerce organization.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eading=h.41mcnfz8ecn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Deliverable: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short write-up (150–200 words) outlining: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Five key qualities or skills</w:t>
      </w:r>
      <w:r w:rsidDel="00000000" w:rsidR="00000000" w:rsidRPr="00000000">
        <w:rPr>
          <w:rtl w:val="0"/>
        </w:rPr>
        <w:t xml:space="preserve"> (e.g., AI literacy, systems thinking, data governance knowledge)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1–2 sentence explanation of why each is critical in today’s context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5yvzwabroc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B: Architecting the AI-Enabled Enterprise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eading=h.l7k61s8o2ur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been appointed as the Lead Enterprise Architect for a mid-sized e-commerce company aiming to modernize its platform using AI, agents, and next-gen data systems.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eading=h.w5sk3xhfas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Your Task: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step-by-step plan</w:t>
      </w:r>
      <w:r w:rsidDel="00000000" w:rsidR="00000000" w:rsidRPr="00000000">
        <w:rPr>
          <w:rtl w:val="0"/>
        </w:rPr>
        <w:t xml:space="preserve"> (bullet or paragraph form) outlining how you would: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Align with business vision and identify measurable outcomes (e.g., improved conversion rate, CSAT)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an architecture framework (e.g., TOGAF with AI modules or SAFe EA with DataOps/MLOps)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current architecture and AI maturity (including gaps in data, automation, and governance)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 target AI-enabled architecture with: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AI/ML platforms (e.g., for personalization or fraud detection)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Autonomous agents (e.g., customer support bots, order intelligence agents)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RAG systems (for knowledge retrieval)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governance, guardrails, and responsible AI practices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roadmap with quick wins and scalable initiatives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pve94ufounz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C: Bonus (Optional)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simple </w:t>
      </w:r>
      <w:r w:rsidDel="00000000" w:rsidR="00000000" w:rsidRPr="00000000">
        <w:rPr>
          <w:b w:val="1"/>
          <w:rtl w:val="0"/>
        </w:rPr>
        <w:t xml:space="preserve">V2MOM</w:t>
      </w:r>
      <w:r w:rsidDel="00000000" w:rsidR="00000000" w:rsidRPr="00000000">
        <w:rPr>
          <w:rtl w:val="0"/>
        </w:rPr>
        <w:t xml:space="preserve"> (Vision, Values, Methods, Obstacles, Measures) for your AI EA Strategy.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3znysh7" w:id="10"/>
      <w:bookmarkEnd w:id="10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xms58nirymo" w:id="11"/>
      <w:bookmarkEnd w:id="11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Part A: Core Qualities of an AI-Ready Enterprise Architect</w:t>
          </w:r>
        </w:sdtContent>
      </w:sdt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tfwc1g7m5t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Top 5 Qualities &amp; Skills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&amp; Data Literacy</w:t>
        <w:br w:type="textWrapping"/>
      </w:r>
      <w:r w:rsidDel="00000000" w:rsidR="00000000" w:rsidRPr="00000000">
        <w:rPr>
          <w:rtl w:val="0"/>
        </w:rPr>
        <w:t xml:space="preserve"> An AI-ready EA must understand machine learning, GenAI, RAG (Retrieval-Augmented Generation), and data architecture. This allows alignment between business goals and AI capabilities, especially when selecting appropriate AI services or building knowledge-based agents.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Systems Thinking</w:t>
        <w:br w:type="textWrapping"/>
      </w:r>
      <w:r w:rsidDel="00000000" w:rsidR="00000000" w:rsidRPr="00000000">
        <w:rPr>
          <w:rtl w:val="0"/>
        </w:rPr>
        <w:t xml:space="preserve"> Ability to see the “big picture” across business, application, data, and technology domains. This helps model long-term evolution from legacy systems to intelligent, adaptive platforms.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Acumen + Customer Centricity</w:t>
        <w:br w:type="textWrapping"/>
      </w:r>
      <w:r w:rsidDel="00000000" w:rsidR="00000000" w:rsidRPr="00000000">
        <w:rPr>
          <w:rtl w:val="0"/>
        </w:rPr>
        <w:t xml:space="preserve"> EAs must map AI to measurable business outcomes (e.g., reducing cart abandonment via predictive agents) and use tools like customer journey maps and JTBD (Jobs to be Done).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Governance &amp; Responsible AI Knowledge</w:t>
        <w:br w:type="textWrapping"/>
      </w:r>
      <w:r w:rsidDel="00000000" w:rsidR="00000000" w:rsidRPr="00000000">
        <w:rPr>
          <w:rtl w:val="0"/>
        </w:rPr>
        <w:t xml:space="preserve"> Understanding of model auditability, fairness, prompt injection risks, and regulatory compliance (e.g., GDPR, CPRA) is essential for trusted systems.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and Communication</w:t>
        <w:br w:type="textWrapping"/>
      </w:r>
      <w:r w:rsidDel="00000000" w:rsidR="00000000" w:rsidRPr="00000000">
        <w:rPr>
          <w:rtl w:val="0"/>
        </w:rPr>
        <w:t xml:space="preserve"> EAs must bridge product, engineering, and compliance teams, communicate complex AI architectures to C-level execs, and champion change across silos.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qh2wbenp9uu" w:id="13"/>
      <w:bookmarkEnd w:id="13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Part B: Step-by-Step EA Strategy for an AI-Enabled E-Commerce Company</w:t>
          </w:r>
        </w:sdtContent>
      </w:sdt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8ewcfr1q37w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1. Align to Business Goals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 revenue through AI-driven personalization.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customer support costs via agentic automation.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CSAT by predicting delivery delays.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AI fairness and data compliance.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V2MOM</w:t>
      </w:r>
      <w:r w:rsidDel="00000000" w:rsidR="00000000" w:rsidRPr="00000000">
        <w:rPr>
          <w:rtl w:val="0"/>
        </w:rPr>
        <w:t xml:space="preserve"> to crystallize this alignment.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ertoiinx7q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2. Select an EA Framework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TOGAF 10 with AI Modules:</w:t>
      </w:r>
      <w:r w:rsidDel="00000000" w:rsidR="00000000" w:rsidRPr="00000000">
        <w:rPr>
          <w:rtl w:val="0"/>
        </w:rPr>
        <w:t xml:space="preserve"> Modular content, governance, capability-based planning.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Agile EA:</w:t>
      </w:r>
      <w:r w:rsidDel="00000000" w:rsidR="00000000" w:rsidRPr="00000000">
        <w:rPr>
          <w:rtl w:val="0"/>
        </w:rPr>
        <w:t xml:space="preserve"> Value stream mapping + continuous delivery of AI capabilities.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Architecture Kata:</w:t>
      </w:r>
      <w:r w:rsidDel="00000000" w:rsidR="00000000" w:rsidRPr="00000000">
        <w:rPr>
          <w:rtl w:val="0"/>
        </w:rPr>
        <w:t xml:space="preserve"> Iterative hands-on design with data pipelines, models, agents.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npt387omjp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3. Conduct EA &amp; AI Maturity Assessment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current state of: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silos &amp; quality issues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In-house vs SaaS-based AI usage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Cloud, vector databases, and search capabilities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experience gaps (use Empathy Maps)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Tools: Capability Model Level 1–3, Heatmaps, SWOT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i0ii6d5zcj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4. Define Target Architecture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qe62ashw05g0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Architecture:</w:t>
      </w:r>
      <w:r w:rsidDel="00000000" w:rsidR="00000000" w:rsidRPr="00000000">
        <w:rPr>
          <w:rtl w:val="0"/>
        </w:rPr>
        <w:t xml:space="preserve"> Capability models, value streams (e.g., Order-to-Delivery with AI agents).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Architecture:</w:t>
      </w:r>
      <w:r w:rsidDel="00000000" w:rsidR="00000000" w:rsidRPr="00000000">
        <w:rPr>
          <w:rtl w:val="0"/>
        </w:rPr>
        <w:t xml:space="preserve"> Composable, agent-integrated microservices (e.g., recommendation engine, dynamic pricing).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Architecture: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Unified customer 360 in Data Cloud or Snowflake.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RAG pipeline: Embeddings → Vector DB (e.g., Weaviate/Milvus) → LangChain Agents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Architecture: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Event-driven Kafka for real-time ingestion.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CI/CD pipelines with MLOps, PromptOps.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mp25m76fc7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5. Governance &amp; Responsible AI Setup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AI usage guardrails (e.g., no auto-pricing without review).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Responsible AI Policy</w:t>
      </w:r>
      <w:r w:rsidDel="00000000" w:rsidR="00000000" w:rsidRPr="00000000">
        <w:rPr>
          <w:rtl w:val="0"/>
        </w:rPr>
        <w:t xml:space="preserve"> including: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Bias testing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logging and red-teaming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Consent-aware data collection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zxc4vebygh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6. Implementation Roadmap</w:t>
      </w:r>
    </w:p>
    <w:tbl>
      <w:tblPr>
        <w:tblStyle w:val="Table1"/>
        <w:tblW w:w="8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3425"/>
        <w:gridCol w:w="1130"/>
        <w:gridCol w:w="3365"/>
        <w:tblGridChange w:id="0">
          <w:tblGrid>
            <w:gridCol w:w="830"/>
            <w:gridCol w:w="3425"/>
            <w:gridCol w:w="1130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AI Chatbot Pilot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30% reduction in tickets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RAG-powered product FAQ 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Faster customer resolution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Smart Order Orchestration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Reduced delivery SLA breaches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LLM Personalization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10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Boost in AOV (avg. order value)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5b3a4cykfryl" w:id="21"/>
      <w:bookmarkEnd w:id="21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Part C: Bonus – V2MOM Example</w:t>
          </w:r>
        </w:sdtContent>
      </w:sdt>
    </w:p>
    <w:tbl>
      <w:tblPr>
        <w:tblStyle w:val="Table2"/>
        <w:tblW w:w="3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40"/>
        <w:tblGridChange w:id="0">
          <w:tblGrid>
            <w:gridCol w:w="3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V2MOM for AI EA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dnUFPqojr5LtRjg8Efh6PWeCHw==">CgMxLjAaHQoBMBIYChYIB0ISEhBBcmlhbCBVbmljb2RlIE1TGh0KATESGAoWCAdCEhIQQXJpYWwgVW5pY29kZSBNUxodCgEyEhgKFggHQhISEEFyaWFsIFVuaWNvZGUgTVMaHQoBMxIYChYIB0ISEhBBcmlhbCBVbmljb2RlIE1TMg5oLmV0ZHh4dTF5OWY1ajIOaC52aWNlMGtzdWlzdncyDmguNXB4enpxajhqY29qMg5oLnplNjlmZTR0bmpkMDIOaC41cXc4MDdzYXdldzYyDmguNDFtY25mejhlY25oMg1oLjV5dnp3YWJyb2N4Mg5oLmw3azYxczhvMnVyeTINaC53NXNrM3hoZmFzcjIOaC5wdmU5NHVmb3VuejYyCWguM3pueXNoNzIOaC5meG1zNThuaXJ5bW8yDmgudXRmd2MxZzdtNXRhMg5oLnRxaDJ3YmVucDl1dTIOaC44ZXdjZnIxcTM3dzYyDmguNmVydG9paW54N3F2Mg5oLmFucHQzODdvbWpwbjIOaC5vaTBpaTZkNXpjankyDmgucWU2MmFzaHcwNWcwMg5oLjJtcDI1bTc2ZmM3djIOaC5yenhjNHZlYnlnaHUyDmguNWIzYTRjeWtmcnlsOAByITFuY1B4eGN6RTZ2ai1SUHpkOXl5QndnYlh1SkZGcmd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