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cyggggqv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Workshop Assignment for Enterprise Architects: Value Chain Analysis &amp; Modeling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a69cu4brp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understand and apply Porter’s Value Chain framework within your industry, identify key areas of cost optimization and differentiation, and design a future-ready, technology-enabled value chain.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o57twzie7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📘 Assignment Instructions: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an Enterprise Architect working for an organization undergoing digital transformation. Your goal is to: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your company’s current value chain.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gaps and inefficiencies.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Porter’s framework (Primary and Support Activities) to evaluate value creation.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</w:t>
      </w:r>
      <w:r w:rsidDel="00000000" w:rsidR="00000000" w:rsidRPr="00000000">
        <w:rPr>
          <w:b w:val="1"/>
          <w:rtl w:val="0"/>
        </w:rPr>
        <w:t xml:space="preserve">Digitally Optimized Value Chain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how emerging technologies (AI, RPA, Data Cloud, IoT, CRM, etc.) can automate or enhance key activities.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a diagram + written summary (choose one industry).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y5n4pof3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Deliverables: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Value Chain Model (Current State)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 Chain Analysis (Gap Identification)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State Value Chain (Optimized with technology)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Recommendations (cost or differentiation)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 with labeled activities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Written justification for each change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d9eudbh1m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🏭 Solution Example – Manufacturing Industry (Smart Factory)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ow4fu4nth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1. Primary Activities: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8.5623003194887"/>
        <w:gridCol w:w="2666.4536741214056"/>
        <w:gridCol w:w="4684.984025559105"/>
        <w:tblGridChange w:id="0">
          <w:tblGrid>
            <w:gridCol w:w="2008.5623003194887"/>
            <w:gridCol w:w="2666.4536741214056"/>
            <w:gridCol w:w="4684.984025559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Optimized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Inbound Logistics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Manual scheduling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AI predicts demand, just-in-time deliveries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Reactive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IoT + Predictive Maintenance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Outbound Logistics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Delays in shipping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RPA automates carrier selection and tracking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Marketing &amp;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Generic campaigns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CRM + AI for hyper-personalized B2B selling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Technicians dispatched 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Field Service Lightning schedules real-time support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ikokjy86r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2. Support Activities:</w:t>
      </w:r>
    </w:p>
    <w:tbl>
      <w:tblPr>
        <w:tblStyle w:val="Table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1880"/>
        <w:gridCol w:w="4910"/>
        <w:tblGridChange w:id="0">
          <w:tblGrid>
            <w:gridCol w:w="1880"/>
            <w:gridCol w:w="1880"/>
            <w:gridCol w:w="4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Optimized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Procurement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Supplier delays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Blockchain for supplier traceability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Skill mismatches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AI-based workforce planning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Legacy 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Cloud-first ERP + MES integration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Paper-based 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Unified Data Cloud + MuleSoft integration layer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iirmtr4co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Strategic Outcome: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Cost reduced via IoT + Predictive Maintenance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Differentiation through custom production for B2B clients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64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6ud0wtvt2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💊 Solution Example – Pharma Industry (Drug Lifecycle Management)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rjytwb631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1. Primary Activities: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8.5623003194887"/>
        <w:gridCol w:w="2771.1182108626194"/>
        <w:gridCol w:w="4580.319488817891"/>
        <w:tblGridChange w:id="0">
          <w:tblGrid>
            <w:gridCol w:w="2008.5623003194887"/>
            <w:gridCol w:w="2771.1182108626194"/>
            <w:gridCol w:w="4580.31948881789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Optimized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Inbound Logistics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Delays from global suppliers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AI risk scoring + smart contracts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Long R&amp;D cycles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Digital twins for molecule simulation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Outbound Logistics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Cold chain failures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IoT tracking sensors for temperature control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Marketing &amp;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One-size-fits-all reps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CRM + AI for HCP (healthcare provider) targeting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 post-launch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Patient app for adverse effect logging (RWE)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cofflq1x2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2. Support Activities:</w:t>
      </w:r>
    </w:p>
    <w:tbl>
      <w:tblPr>
        <w:tblStyle w:val="Table4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2045"/>
        <w:gridCol w:w="3725"/>
        <w:tblGridChange w:id="0">
          <w:tblGrid>
            <w:gridCol w:w="1535"/>
            <w:gridCol w:w="2045"/>
            <w:gridCol w:w="3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Optimized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Procurement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Expensive CROs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AI evaluates CRO/vendor efficiency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Manual staffing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GxP-trained talent matching via AI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Disparate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Unified GxP-compliant platform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Compliance-heavy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Audit trails via Blockchain</w:t>
            </w:r>
          </w:p>
        </w:tc>
      </w:tr>
    </w:tbl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qbmamm57p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Strategic Outcome: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Differentiation: Safer drugs, faster to market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Cost: Reduced R&amp;D trial overhead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4y95s0qpm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🏦 Solution Example – Banking Industry (Retail Lending)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4azj9ujm5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1. Primary Activities: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8.7539936102235"/>
        <w:gridCol w:w="3070.1597444089457"/>
        <w:gridCol w:w="4341.08626198083"/>
        <w:tblGridChange w:id="0">
          <w:tblGrid>
            <w:gridCol w:w="1948.7539936102235"/>
            <w:gridCol w:w="3070.1597444089457"/>
            <w:gridCol w:w="4341.0862619808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Optimized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Inbound Logistics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Manual customer onboarding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OCR + eKYC + facial biometrics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High NPL (non-performing loans)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AI risk scoring, dynamic credit limits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Outbound Logistics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Paper checks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Digital disbursements (mobile, crypto rails)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Marketing &amp;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Branch campaigns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Digital journey orchestration via CRM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Long call wait 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Agentforce + self-service bots for account support</w:t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wr3gnrnxx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2. Support Activities:</w:t>
      </w:r>
    </w:p>
    <w:tbl>
      <w:tblPr>
        <w:tblStyle w:val="Table6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1790"/>
        <w:gridCol w:w="4475"/>
        <w:tblGridChange w:id="0">
          <w:tblGrid>
            <w:gridCol w:w="1535"/>
            <w:gridCol w:w="1790"/>
            <w:gridCol w:w="4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Optimized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Procurement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Vendor lock-in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Cloud marketplaces with AI-based selection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Retention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Skills cloud + AI engagement nudges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Monolithic 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Microservices + API-first banking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Fragmented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Real-time integration layer (Data Fabric)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vn87apojd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Strategic Outcome: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Differentiation: Customer self-service &amp; personalization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Cost: Reduced operational overhead from automation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ppqe99wsjm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🛠 Bonus Activities: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Lucidchart or PowerPoint to sketch your industry’s value chain.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1-page justification for each change to stakeholders.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KPIs: Cost per activity, cycle time, CSAT, NPS, error rate.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