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Understand the driving forces.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Study the ArchiMetal Transformation Challenges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color w:val="494642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https://www.uio.no/studier/emner/matnat/ifi/INF5120/v18/Resources/archimetal-case-study.pdf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color w:val="4946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4946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4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io.no/studier/emner/matnat/ifi/INF5120/v18/Resources/archimetal-case-study.pdf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