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A (Architecture Vision)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A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establish the enterprise architecture capability.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create the Architecture Vision.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implement the architecture components.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b) To create the Architecture Vision.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document provides a high-level aspirational view of the end architecture product?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c) Architecture Vision.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A, what is the significance of identifying stakeholders, concerns, and business requirements?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To ensure the architecture serves the business.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To define the scope of the project.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To implement the architecture components.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To train the stakeholders.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a) To ensure the architecture serves the business.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technique is commonly used in Phase A to ensure that a comprehensive set of requirements is understood and considered?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SWOT Analysis.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Business Scenarios.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Gap Analysis.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Technical Analysis.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b) Business Scenarios.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A that defines the scope and approach to complete the architecture activity?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Architecture Definition Document.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b) Statement of Architecture Work.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Architecture Vision?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describe the initial phase of an architecture development cycle.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offer a high-level, aspirational view of the end architecture product.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list all the stakeholders involved in the project.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c) To offer a high-level, aspirational view of the end architecture product.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A, which document is used to secure an agreement on the architecture development cycle's scope?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c) Statement of Architecture Work.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Communications Plan developed in Phase A?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outline the strategy for communicating with stakeholders.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outline the strategy for communicating with stakeholders.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A?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Developing the Architecture Vision.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b) Creating the detailed architecture design.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A, what is the significance of the Request for Architecture Work?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detailed design of the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lists all the stakeholders involved in the project.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a) It triggers the start of an architecture development cycle.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