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B (Business Architecture)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B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establish the enterprise architecture capability.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business architecture for the architecture domain.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implement the architecture components.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c) To define the business architecture for the architecture domain.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B?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Definition Document.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b) Architecture Definition Document.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B, what is the significance of the Business Transformation Readiness Assessment?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To ensure the architecture serves the business.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To evaluate the readiness of the organization to accept change.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To implement the architecture components.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To train the stakeholders.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b) To evaluate the readiness of the organization to accept change.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describes the primary business functions of the enterprise?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Business Service Function.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Business Interaction Matrix.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Business Footprint Diagram.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Business Transformation Readiness Assessment.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a) Business Service Function.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B that provides a detailed description of the business architecture?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Architecture Definition Document.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Architecture Definition Document.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Business Scenario technique in Phase B?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describe the initial phase of an architecture development cycle.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ensure that a comprehensive set of requirements is understood and considered.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list all the stakeholders involved in the project.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c) To ensure that a comprehensive set of requirements is understood and considered.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B, which document is used to secure an agreement on the business architecture's scope?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c) Statement of Architecture Work.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B?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business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business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B?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business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Developing the Architecture Vision.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c) Developing the Architecture Vision.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B, what is the significance of the Business Transformation Readiness Program?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detailed design of the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evaluates the organization's readiness for change.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d) It evaluates the organization's readiness for change.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