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Understand the driving forces.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Study the ArchiMetal Transformation Challenges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color w:val="494642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https://www.uio.no/studier/emner/matnat/ifi/INF5120/v18/Resources/archimetal-case-study.pdf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color w:val="49464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color w:val="49464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248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uio.no/studier/emner/matnat/ifi/INF5120/v18/Resources/archimetal-case-study.pdf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