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hvml7a0t8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#3 — Back-of-Envelope &amp; Capacity Planning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(Throughput, Storage, Latency, and AI-Aware Sizing)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ll4vcie7a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“I’m not testing your math.</w:t>
      </w:r>
    </w:p>
    <w:p w:rsidR="00000000" w:rsidDel="00000000" w:rsidP="00000000" w:rsidRDefault="00000000" w:rsidRPr="00000000" w14:paraId="00000007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I’m testing whether your architecture survives reality.”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comfort with rough numbers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order-of-magnitude thinking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reason under uncertainty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</w:t>
      </w:r>
      <w:r w:rsidDel="00000000" w:rsidR="00000000" w:rsidRPr="00000000">
        <w:rPr>
          <w:b w:val="1"/>
          <w:bCs w:val="1"/>
          <w:rtl w:val="0"/>
        </w:rPr>
        <w:t xml:space="preserve">what breaks first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accuracy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goal.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Directionally correct + assumptions stated = full marks.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dvu6445g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Golden Rules of Back-of-Envelope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assumptions explicitly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aggressively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powers of 10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bottlenecks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 numbers back to architecture decisions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v4kmmsbcw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Quantities You Should Always Estimate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2ezvwh2xu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Traffic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DAU / MAU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per user, edges per second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vs average (×5–×10)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npzkczpi2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Throughput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QPS / TPS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vs writes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Fan-out amplification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paousssit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Storage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per record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period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factor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jru8tull2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Latency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P50 / P95 / P99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Per-hop budgets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vnr4j03lb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zsgb91hvf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How do you estimate QPS?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estimate users × actions per user, then apply a peak multiplier.”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10M DAU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actions/user/day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= 200M requests/day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2,300 QPS average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Peak (×10) ≈ </w:t>
      </w:r>
      <w:r w:rsidDel="00000000" w:rsidR="00000000" w:rsidRPr="00000000">
        <w:rPr>
          <w:b w:val="1"/>
          <w:bCs w:val="1"/>
          <w:rtl w:val="0"/>
        </w:rPr>
        <w:t xml:space="preserve">23K QPS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Overestimating slightly is safer than underestimating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traffic drives architecture, not average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96o66r1wb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How do you estimate storage needs?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estimate record size × writes per day × retention × replication.”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size: 500 bytes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Writes: 200M/day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Retention: 30 days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Replication: 3×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500B × 200M × 30 × 3 ≈ 9TB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Hot vs cold storage decisions matter more than raw size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x8526flki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How do you estimate bandwidth?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“Bandwidth = request size × QPS.”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size: 50KB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QPS: 20K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50KB × 20K ≈ 1GB/sec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Bandwidth usually breaks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CPU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1gm4h6yni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think about read vs write ratios?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“Most consumer systems are read-heavy, but writes define durability needs.”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Ratios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feeds: 100:1 read/write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E-commerce: 10:1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/ telemetry: write-heavy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Read-heavy → caching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Write-heavy → partitioning &amp; async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6awf4ny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do you apply Little’s Law?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“Concurrency = throughput × latency.”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QPS = 1,000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= 200ms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Concurrency = 1,000 × 0.2 = 200 in-flight requests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systems multiply concurrency due to retries and multi-hop DAGs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hqm6nymy8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AI-Specific Capacity Planning (Very Important)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kphvpj9k0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Changes with AI?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introduces </w:t>
      </w:r>
      <w:r w:rsidDel="00000000" w:rsidR="00000000" w:rsidRPr="00000000">
        <w:rPr>
          <w:b w:val="1"/>
          <w:bCs w:val="1"/>
          <w:rtl w:val="0"/>
        </w:rPr>
        <w:t xml:space="preserve">hidden multipliers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295"/>
        <w:gridCol w:w="2810"/>
        <w:tblGridChange w:id="0">
          <w:tblGrid>
            <w:gridCol w:w="1325"/>
            <w:gridCol w:w="129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3–10 hops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Multiplicative (P99 × P99)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Per-token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GPU / accelerator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anlv575gw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size AI inference capacity?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estimate requests × tokens per request × model throughput.”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5K QPS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1,000 tokens/request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= 5M tokens/sec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ask: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one model handle this?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I need batching?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tier models?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Bigger models → better quality, worse cost &amp; latency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Smaller models → faster fallback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oi4jc90jy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 retries affect capacity?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“Retries multiply load silently, especially in AI pipelines.”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retries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inference hops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request → up to 8 inference calls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Retry policies are capacity decisions, not reliability hacks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rknaa9tmd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Architecture Decisions Driven by Numbers</w:t>
      </w:r>
    </w:p>
    <w:tbl>
      <w:tblPr>
        <w:tblStyle w:val="Table2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540"/>
        <w:tblGridChange w:id="0">
          <w:tblGrid>
            <w:gridCol w:w="168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Choice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read QPS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+ CDN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 spikes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Queue / stream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Partitioning + cold tier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P99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Async + fallback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cost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tiering + caching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076qy28yu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numbers at all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Pretending precision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peak traffic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Forgetting replication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 cost discussion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dyyeuuctw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A4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 use back-of-the-envelope calculations to sanity-check scale, identify bottlenecks, and drive architecture trade-offs rather than exact sizing.”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ts5oc78a6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Is Used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: /03-back-of-envelope-capacity-planning/cheat-sheet.md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Workshop</w:t>
      </w:r>
      <w:r w:rsidDel="00000000" w:rsidR="00000000" w:rsidRPr="00000000">
        <w:rPr>
          <w:rtl w:val="0"/>
        </w:rPr>
        <w:t xml:space="preserve">: Live math walkthrough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Interview prep</w:t>
      </w:r>
      <w:r w:rsidDel="00000000" w:rsidR="00000000" w:rsidRPr="00000000">
        <w:rPr>
          <w:rtl w:val="0"/>
        </w:rPr>
        <w:t xml:space="preserve">: Mandatory before drawing diagrams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24glr6mp6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“Go to Cheat Sheet #4 — Core Architecture Primitives”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we’ll continue building the full system-design interview cheat-sheet library.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