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fkb9egc0xm4" w:id="0"/>
      <w:bookmarkEnd w:id="0"/>
      <w:r w:rsidDel="00000000" w:rsidR="00000000" w:rsidRPr="00000000">
        <w:rPr>
          <w:rtl w:val="0"/>
        </w:rPr>
        <w:t xml:space="preserve">Access to AWS console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lfzj593zokw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Log into AWS Management Console.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Navigate around to see the AWS console.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Search AWS resources.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Select Regions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qb0y02we72ua" w:id="2"/>
      <w:bookmarkEnd w:id="2"/>
      <w:r w:rsidDel="00000000" w:rsidR="00000000" w:rsidRPr="00000000">
        <w:rPr>
          <w:rtl w:val="0"/>
        </w:rPr>
        <w:t xml:space="preserve">Create Shortcuts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