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tbl>
      <w:tblPr>
        <w:tblW w:w="10000" w:type="dxa"/>
        <w:tblBorders>
          <w:top w:val="single" w:sz="12" w:color="000000"/>
          <w:left w:val="single" w:sz="12" w:color="000000"/>
          <w:bottom w:val="single" w:sz="12" w:color="000000"/>
          <w:right w:val="single" w:sz="12" w:color="000000"/>
          <w:insideH w:val="none" w:sz="0" w:color="FFFFFF"/>
          <w:insideV w:val="none" w:sz="0" w:color="FFFFFF"/>
        </w:tblBorders>
        <w:tblLayout w:type="fixed"/>
      </w:tblPr>
      <w:tblGrid>
        <w:gridCol w:w="10000"/>
      </w:tblGrid>
      <w:tr>
        <w:tc>
          <w:tcPr>
            <w:tcW w:w="10000" w:type="dxa"/>
            <w:tcMar>
              <w:top w:w="60" w:type="dxa"/>
              <w:left w:w="100" w:type="dxa"/>
              <w:bottom w:w="60" w:type="dxa"/>
              <w:right w:w="100" w:type="dxa"/>
            </w:tcMar>
            <w:gridSpan w:val="1"/>
          </w:tcPr>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single"/>
              </w:rPr>
              <w:t xml:space="preserve">Department of Artificial Intelligence &amp; Machine Learning</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Program name :- Artificial Intelligence &amp; Machine Learning        Class: S.Y. B. Tech   Div:- A</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Name of Student: Rohit Pradipkumar Chaudhari     Batch:- A2   Course Name:- Engineering Economics</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PRN No :- 251110023   Roll No:- 12122     Sem :- 3rd   Course :- Engineering Economics</w:t>
            </w:r>
          </w:p>
        </w:tc>
      </w:tr>
    </w:tbl>
    <w:p>
      <w:pPr>
        <w:spacing w:before="300" w:after="200"/>
      </w:pPr>
    </w:p>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5000"/>
        <w:gridCol w:w="5000"/>
      </w:tblGrid>
      <w:tr>
        <w:tc>
          <w:tcPr>
            <w:tcW w:w="5000" w:type="dxa"/>
            <w:tcBorders>
              <w:top w:val="none" w:sz="0" w:color="FFFFFF"/>
              <w:left w:val="none" w:sz="0" w:color="FFFFFF"/>
              <w:bottom w:val="none" w:sz="0" w:color="FFFFFF"/>
              <w:right w:val="none" w:sz="0" w:color="FFFFFF"/>
            </w:tcBorders>
          </w:tcPr>
          <w:p>
            <w:r>
              <w:rPr>
                <w:rFonts w:ascii="Times New Roman"/>
                <w:b w:val="0"/>
                <w:i w:val="0"/>
                <w:strike w:val="0"/>
                <w:dstrike w:val="0"/>
                <w:emboss w:val="0"/>
                <w:imprint w:val="0"/>
                <w:outline w:val="0"/>
                <w:shadow w:val="0"/>
                <w:sz w:val="20"/>
                <w:szCs w:val="20"/>
                <w:u w:val="none"/>
              </w:rPr>
              <w:drawing>
                <wp:inline>
                  <wp:extent cx="1171575" cy="752479"/>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71575" cy="752475"/>
                          </a:xfrm>
                          <a:prstGeom prst="rect">
                            <a:avLst/>
                          </a:prstGeom>
                        </pic:spPr>
                      </pic:pic>
                    </a:graphicData>
                  </a:graphic>
                </wp:inline>
              </w:drawing>
            </w:r>
          </w:p>
        </w:tc>
        <w:tc>
          <w:tcPr>
            <w:tcW w:w="5000" w:type="dxa"/>
            <w:tcBorders>
              <w:top w:val="none" w:sz="0" w:color="FFFFFF"/>
              <w:left w:val="none" w:sz="0" w:color="FFFFFF"/>
              <w:bottom w:val="none" w:sz="0" w:color="FFFFFF"/>
              <w:right w:val="none" w:sz="0" w:color="FFFFFF"/>
            </w:tcBorders>
          </w:tcPr>
          <w:p>
            <w:pPr>
              <w:jc w:val="right"/>
            </w:pPr>
            <w:r>
              <w:rPr>
                <w:rFonts w:ascii="Times New Roman"/>
                <w:b w:val="0"/>
                <w:i w:val="0"/>
                <w:strike w:val="0"/>
                <w:dstrike w:val="0"/>
                <w:emboss w:val="0"/>
                <w:imprint w:val="0"/>
                <w:outline w:val="0"/>
                <w:shadow w:val="0"/>
                <w:sz w:val="20"/>
                <w:szCs w:val="20"/>
                <w:u w:val="none"/>
              </w:rPr>
              <w:drawing>
                <wp:inline>
                  <wp:extent cx="1371600" cy="67627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676275"/>
                          </a:xfrm>
                          <a:prstGeom prst="rect">
                            <a:avLst/>
                          </a:prstGeom>
                        </pic:spPr>
                      </pic:pic>
                    </a:graphicData>
                  </a:graphic>
                </wp:inline>
              </w:drawing>
            </w:r>
          </w:p>
        </w:tc>
      </w:tr>
    </w:tbl>
    <w:p>
      <w:pPr>
        <w:spacing w:before="160" w:after="300"/>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SMARTBRIDGE</w:t>
      </w:r>
      <w:r>
        <w:rPr>
          <w:rFonts w:hAnsi="Times New Roman" w:ascii="Times New Roman" w:eastAsia="Times New Roman" w:cs="Times New Roman"/>
          <w:b w:val="0"/>
          <w:i w:val="0"/>
          <w:strike w:val="0"/>
          <w:dstrike w:val="0"/>
          <w:emboss w:val="0"/>
          <w:imprint w:val="0"/>
          <w:outline w:val="0"/>
          <w:shadow w:val="0"/>
          <w:sz w:val="22"/>
          <w:szCs w:val="22"/>
          <w:u w:val="none"/>
        </w:rPr>
        <w:t xml:space="preserve">    |    </w:t>
      </w:r>
      <w:r>
        <w:rPr>
          <w:rFonts w:hAnsi="Times New Roman" w:ascii="Times New Roman" w:eastAsia="Times New Roman" w:cs="Times New Roman"/>
          <w:b/>
          <w:bCs/>
          <w:i w:val="0"/>
          <w:strike w:val="0"/>
          <w:dstrike w:val="0"/>
          <w:emboss w:val="0"/>
          <w:imprint w:val="0"/>
          <w:outline w:val="0"/>
          <w:shadow w:val="0"/>
          <w:sz w:val="22"/>
          <w:szCs w:val="22"/>
          <w:u w:val="none"/>
        </w:rPr>
        <w:t xml:space="preserve">SKILLWALLET</w:t>
      </w:r>
    </w:p>
    <w:p>
      <w:pPr>
        <w:spacing w:after="300"/>
        <w:jc w:val="center"/>
      </w:pPr>
      <w:r>
        <w:rPr>
          <w:rFonts w:hAnsi="Times New Roman" w:ascii="Times New Roman" w:eastAsia="Times New Roman" w:cs="Times New Roman"/>
          <w:b/>
          <w:bCs/>
          <w:i w:val="0"/>
          <w:strike w:val="0"/>
          <w:dstrike w:val="0"/>
          <w:emboss w:val="0"/>
          <w:imprint w:val="0"/>
          <w:outline w:val="0"/>
          <w:shadow w:val="0"/>
          <w:sz w:val="32"/>
          <w:szCs w:val="32"/>
          <w:u w:val="none"/>
        </w:rPr>
        <w:t xml:space="preserve">LoanWise: AI-Powered Loan Eligibility &amp; Financial Decisioning Platform</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Project Description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LoanWise is an AI-powered BFSI web platform designed to simplify and accelerate everyday financial decision-making. The platform gives users instant access to four core financial tools: a Loan Eligibility Checker, a Credit Score Analyzer, an EMI Calculator, and AI Financial Tips, all built using HTML, CSS and JavaScript with a dark glassmorphism interface.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The system runs transparent, rule-based lending logic (age, income, obligation-to-income ratio, and credit score bands) alongside real formula-based calculations for credit scoring and EMI amortization. Anthropic's Claude AI is integrated through a secure backend to turn each computed result into a short, plain-language insight the user can act on.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User submissions are logged through a Google Apps Script backend into Google Sheets for record-keeping, with the Claude API key and Sheet ID held server-side so no credential is ever exposed in the client code or the public repository. The application is fully responsive and was built and deployed entirely from a mobile device.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Technology &amp; AI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Frontend: HTML5 / CSS3 / JavaScript (vanilla, no framework)</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Backend: Google Apps Script (serverless)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AI: Anthropic Claude API</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Data Storage: Google Sheets (via Apps Script)</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Deployment: Netlify</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Security: API keys and Sheet ID stored server-side via Script Properties</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Key Features :-</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Transparent, rule-based Loan Eligibility Checker (age, income, FOIR, credit score band)</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Weighted Credit Score Analyzer (300–900) that identifies the single biggest improvement lever</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Live EMI Calculator with a year-by-year amortization schedule</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AI Financial Tips generated from a short income / expense / goal profile</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SaveIQ: Smart Savings Management Web App</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Secure backend proxy — Claude API key never exposed on the client or in the repository</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Project Description :-</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 xml:space="preserve">SaveIQ is a smart savings management web application designed to help users organize their savings goals and manage their finances through an intuitive dashboard powered by Google Sheets.</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The application allows users to create savings goals, monitor progress toward each goal, and keep their financial planning information organized. By bringing goal tracking and financial information together in one dashboard, SaveIQ helps users understand their savings progress and stay focused on their financial objectives.</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The project uses Google Sheets as its data-management layer, making savings information accessible through a familiar spreadsheet-based service. The overall goal is to provide a simple, approachable way to track savings goals and progress without requiring users to manage complex financial tools.</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2: </w:t>
      </w:r>
      <w:r>
        <w:rPr>
          <w:rFonts w:hAnsi="Times New Roman" w:ascii="Times New Roman" w:eastAsia="Times New Roman" w:cs="Times New Roman"/>
          <w:b w:val="0"/>
          <w:i w:val="0"/>
          <w:strike w:val="0"/>
          <w:dstrike w:val="0"/>
          <w:emboss w:val="0"/>
          <w:imprint w:val="0"/>
          <w:outline w:val="0"/>
          <w:shadow w:val="0"/>
          <w:sz w:val="22"/>
          <w:szCs w:val="22"/>
          <w:u w:val="none"/>
        </w:rPr>
        <w:t xml:space="preserve">A user unsure of their credit score enters factors such as payment history, utilization and credit age. The Credit Score Analyzer computes a weighted 300–900 estimate and highlights the one factor most worth improving.</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3: </w:t>
      </w:r>
      <w:r>
        <w:rPr>
          <w:rFonts w:hAnsi="Times New Roman" w:ascii="Times New Roman" w:eastAsia="Times New Roman" w:cs="Times New Roman"/>
          <w:b w:val="0"/>
          <w:i w:val="0"/>
          <w:strike w:val="0"/>
          <w:dstrike w:val="0"/>
          <w:emboss w:val="0"/>
          <w:imprint w:val="0"/>
          <w:outline w:val="0"/>
          <w:shadow w:val="0"/>
          <w:sz w:val="22"/>
          <w:szCs w:val="22"/>
          <w:u w:val="none"/>
        </w:rPr>
        <w:t xml:space="preserve">A user exploring a loan adjusts principal, interest rate and tenure on live sliders. The EMI Calculator instantly recalculates the monthly EMI, total interest and a year-by-year payoff schedule.</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 xml:space="preserve">Scenario 4: </w:t>
      </w:r>
      <w:r>
        <w:rPr>
          <w:rFonts w:hAnsi="Times New Roman" w:ascii="Times New Roman" w:eastAsia="Times New Roman" w:cs="Times New Roman"/>
          <w:b w:val="0"/>
          <w:i w:val="0"/>
          <w:strike w:val="0"/>
          <w:dstrike w:val="0"/>
          <w:emboss w:val="0"/>
          <w:imprint w:val="0"/>
          <w:outline w:val="0"/>
          <w:shadow w:val="0"/>
          <w:sz w:val="22"/>
          <w:szCs w:val="22"/>
          <w:u w:val="none"/>
        </w:rPr>
        <w:t xml:space="preserve">A user enters monthly income, expenses, debt payments and a savings goal. AI Financial Tips builds a short financial profile and returns prioritized, specific guidance rather than generic advice.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Milestones :-</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1 – Project Planning &amp; UI/UX Design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Define the objective of LoanWise, finalize the four core modules, and design the dark glassmorphism interface and overall application workflow.</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2 – Loan Eligibility &amp; Credit Score Modules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Build the rule-based Loan Eligibility Checker and the weighted Credit Score Analyzer, including form validation and result rendering.</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Milestone 3 – EMI Calculator &amp; Financial Tips Modules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Technology &amp; AI :-</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Application: SaveIQ smart savings management web app</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Dashboard: Intuitive web-based dashboard</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 xml:space="preserve">Data Storage / Integration: Google Sheets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Core Logic: Savings-goal creation and progress tracking</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Purpose: Personal finance organization and savings management</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LoanWise provides a simple, transparent way for users to understand where they stand on a loan, a credit score, an EMI, or a savings goal before a lender is ever involved. By combining rule-based financial logic, real formula-driven calculations, and Claude AI-generated plain-language insights, the platform helps users make informed financial decisions without needing prior financial expertise. The project demonstrates how AI and modern web technologies can be used to make BFSI decision-making more transparent and accessible.</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Expected Outcome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 xml:space="preserve">LoanWise aims to make loan and credit decisions more transparent by replacing opaque approval processes with clear, rule-based criteria and instant feedback. The platform combines real-time calculation, AI-powered explanation, and secure data logging to create a trustworthy financial self-assessment tool for everyday users.</w:t>
      </w:r>
    </w:p>
    <w:sectPr>
      <w:headerReference w:type="default" r:id="rId7"/>
      <w:pgSz w:w="12240" w:h="15840"/>
      <w:pgMar w:top="1300" w:right="1100" w:bottom="1000" w:left="1100" w:header="708" w:footer="708"/>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700"/>
      <w:gridCol w:w="6600"/>
      <w:gridCol w:w="1700"/>
    </w:tblGrid>
    <w:tr>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942975" cy="110489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42975" cy="1104900"/>
                        </a:xfrm>
                        <a:prstGeom prst="rect">
                          <a:avLst/>
                        </a:prstGeom>
                      </pic:spPr>
                    </pic:pic>
                  </a:graphicData>
                </a:graphic>
              </wp:inline>
            </w:drawing>
          </w:r>
        </w:p>
      </w:tc>
      <w:tc>
        <w:tcPr>
          <w:tcW w:w="6600" w:type="dxa"/>
          <w:tcBorders>
            <w:top w:val="none" w:sz="0" w:color="FFFFFF"/>
            <w:left w:val="none" w:sz="0" w:color="FFFFFF"/>
            <w:bottom w:val="none" w:sz="0" w:color="FFFFFF"/>
            <w:right w:val="none" w:sz="0" w:color="FFFFFF"/>
          </w:tcBorders>
          <w:vAlign w:val="center"/>
        </w:tcPr>
        <w:p>
          <w:pPr>
            <w:jc w:val="center"/>
          </w:pPr>
          <w:r>
            <w:rPr>
              <w:rFonts w:hAnsi="Times New Roman" w:ascii="Times New Roman" w:eastAsia="Times New Roman" w:cs="Times New Roman"/>
              <w:b/>
              <w:bCs/>
              <w:i/>
              <w:iCs/>
              <w:strike w:val="0"/>
              <w:dstrike w:val="0"/>
              <w:emboss w:val="0"/>
              <w:imprint w:val="0"/>
              <w:outline w:val="0"/>
              <w:shadow w:val="0"/>
              <w:sz w:val="22"/>
              <w:szCs w:val="22"/>
              <w:u w:val="none"/>
            </w:rPr>
            <w:t xml:space="preserve">Dr. D. Y. Patil Educational Federation's</w:t>
          </w:r>
        </w:p>
        <w:p>
          <w:pPr>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Dr. D. Y. Patil College of Engineering &amp; Innovation</w:t>
          </w:r>
        </w:p>
        <w:p>
          <w:pPr>
            <w:jc w:val="center"/>
          </w:pPr>
          <w:r>
            <w:rPr>
              <w:rFonts w:hAnsi="Times New Roman" w:ascii="Times New Roman" w:eastAsia="Times New Roman" w:cs="Times New Roman"/>
              <w:b w:val="0"/>
              <w:i w:val="0"/>
              <w:strike w:val="0"/>
              <w:dstrike w:val="0"/>
              <w:emboss w:val="0"/>
              <w:imprint w:val="0"/>
              <w:outline w:val="0"/>
              <w:shadow w:val="0"/>
              <w:sz w:val="18"/>
              <w:szCs w:val="18"/>
              <w:u w:val="none"/>
            </w:rPr>
            <w:t xml:space="preserve">Approved by AICTE, Recognized by Govt. of Maharashtra,</w:t>
          </w:r>
        </w:p>
        <w:p>
          <w:pPr>
            <w:jc w:val="center"/>
          </w:pPr>
          <w:r>
            <w:rPr>
              <w:color w:val="C00000"/>
              <w:rFonts w:hAnsi="Times New Roman" w:ascii="Times New Roman" w:eastAsia="Times New Roman" w:cs="Times New Roman"/>
              <w:b/>
              <w:bCs/>
              <w:i w:val="0"/>
              <w:strike w:val="0"/>
              <w:dstrike w:val="0"/>
              <w:emboss w:val="0"/>
              <w:imprint w:val="0"/>
              <w:outline w:val="0"/>
              <w:shadow w:val="0"/>
              <w:sz w:val="18"/>
              <w:szCs w:val="18"/>
              <w:u w:val="none"/>
            </w:rPr>
            <w:t xml:space="preserve">(An Autonomous Institute Affiliated to Savitribai Phule Pune University)</w:t>
          </w:r>
        </w:p>
        <w:p>
          <w:pPr>
            <w:jc w:val="center"/>
          </w:pPr>
          <w:r>
            <w:rPr>
              <w:color w:val="1F3864"/>
              <w:rFonts w:hAnsi="Times New Roman" w:ascii="Times New Roman" w:eastAsia="Times New Roman" w:cs="Times New Roman"/>
              <w:b/>
              <w:bCs/>
              <w:i w:val="0"/>
              <w:strike w:val="0"/>
              <w:dstrike w:val="0"/>
              <w:emboss w:val="0"/>
              <w:imprint w:val="0"/>
              <w:outline w:val="0"/>
              <w:shadow w:val="0"/>
              <w:sz w:val="18"/>
              <w:szCs w:val="18"/>
              <w:u w:val="none"/>
            </w:rPr>
            <w:t xml:space="preserve">Accredited by NAAC with "A" Grade</w:t>
          </w:r>
        </w:p>
      </w:tc>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1028700" cy="9429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ntTable" Target="fontTable.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85d0ca8ae28d56bf6a2281271c2cd4ba7fde1c6.jpg"/><Relationship Id="rId9" Type="http://schemas.openxmlformats.org/officeDocument/2006/relationships/image" Target="media/ad33b938bc8159892d8bd300422800fbc4c33333.png"/></Relationships>
</file>

<file path=word/_rels/header1.xml.rels><?xml version="1.0" encoding="UTF-8" standalone="yes"?>
<Relationships xmlns="http://schemas.openxmlformats.org/package/2006/relationships"><Relationship Id="rId0" Type="http://schemas.openxmlformats.org/officeDocument/2006/relationships/image" Target="media/6f378370472c512983e08d48f1cd9b2bb842280f.jpg"/><Relationship Id="rId1" Type="http://schemas.openxmlformats.org/officeDocument/2006/relationships/image" Target="media/42b84bfe45e82533224fa1fe44190fa6022a51f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Pradipkumar Chaudhari</dc:creator>
  <cp:lastModifiedBy>Un-named</cp:lastModifiedBy>
  <cp:revision>1</cp:revision>
  <dcterms:created xsi:type="dcterms:W3CDTF">2026-09-27T07:47:20.471Z</dcterms:created>
  <dcterms:modified xsi:type="dcterms:W3CDTF">2026-09-27T07:47:20.472Z</dcterms:modified>
  <dc:title>SaveIQ Project Documentation</dc:title>
  <dc:subject>Engineering Economics project documentation</dc:subject>
</cp:coreProperties>
</file>

<file path=docProps/custom.xml><?xml version="1.0" encoding="utf-8"?>
<Properties xmlns="http://schemas.openxmlformats.org/officeDocument/2006/custom-properties" xmlns:vt="http://schemas.openxmlformats.org/officeDocument/2006/docPropsVTypes"/>
</file>