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THE CORE ISSUE IS NOT THE NOVELTY OF THE TECHNOLOGY BUT CONTROL OVER ITS INFRASTRUCTURE THAT ENABLES NATIONWIDE COMMUNICATION. EXPLAIN THE STATEMENT WITH RESPECT TO SHARED  INFRASTRUCTURE VS. FIRM-OWNED INFRASTRUCTURE AND STRATEGIC DEPENDENCE ON EXTERNAL TECHNOLOGY PROVIDERS.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ANSWER:-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Governments are more concerned about </w:t>
      </w:r>
      <w:r w:rsidDel="00000000" w:rsidR="00000000" w:rsidRPr="00000000">
        <w:rPr>
          <w:b w:val="1"/>
          <w:bCs w:val="1"/>
          <w:rtl w:val="0"/>
        </w:rPr>
        <w:t xml:space="preserve">who owns and controls communication infrastructure</w:t>
      </w:r>
      <w:r w:rsidDel="00000000" w:rsidR="00000000" w:rsidRPr="00000000">
        <w:rPr>
          <w:rtl w:val="0"/>
        </w:rPr>
        <w:t xml:space="preserve"> than about how advanced the technology is. In the case of satellite internet like Starlink, the key issue is </w:t>
      </w:r>
      <w:r w:rsidDel="00000000" w:rsidR="00000000" w:rsidRPr="00000000">
        <w:rPr>
          <w:b w:val="1"/>
          <w:bCs w:val="1"/>
          <w:rtl w:val="0"/>
        </w:rPr>
        <w:t xml:space="preserve">ownership, control, and dependence</w:t>
      </w:r>
      <w:r w:rsidDel="00000000" w:rsidR="00000000" w:rsidRPr="00000000">
        <w:rPr>
          <w:rtl w:val="0"/>
        </w:rPr>
        <w:t xml:space="preserve">, not innovation.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Shared (common) infrastructure</w:t>
      </w:r>
      <w:r w:rsidDel="00000000" w:rsidR="00000000" w:rsidRPr="00000000">
        <w:rPr>
          <w:rtl w:val="0"/>
        </w:rPr>
        <w:t xml:space="preserve"> such as telecom towers, fibre cables, and internet exchanges: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companies use it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government regulates it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the country to maintain oversight and control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any single firm from dominating national communication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Firm-owned infrastructure,</w:t>
      </w:r>
      <w:r w:rsidDel="00000000" w:rsidR="00000000" w:rsidRPr="00000000">
        <w:rPr>
          <w:rtl w:val="0"/>
        </w:rPr>
        <w:t xml:space="preserve"> such as Starlink's satellites and gateways: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owned and operated by a foreign private company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the company complete control over data flow and communication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 the host country's ability to monitor, regulate, or intervene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foreign firm owns critical communication systems, the country becomes </w:t>
      </w:r>
      <w:r w:rsidDel="00000000" w:rsidR="00000000" w:rsidRPr="00000000">
        <w:rPr>
          <w:b w:val="1"/>
          <w:bCs w:val="1"/>
          <w:rtl w:val="0"/>
        </w:rPr>
        <w:t xml:space="preserve">strategically dependent</w:t>
      </w:r>
      <w:r w:rsidDel="00000000" w:rsidR="00000000" w:rsidRPr="00000000">
        <w:rPr>
          <w:rtl w:val="0"/>
        </w:rPr>
        <w:t xml:space="preserve"> on that provider.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creates risks such as: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 of control over national communication networks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Possibility of foreign political or economic pressure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enforcement of security, surveillance, and telecom laws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Therefore, the problem is not the level of technology, but </w:t>
      </w:r>
      <w:r w:rsidDel="00000000" w:rsidR="00000000" w:rsidRPr="00000000">
        <w:rPr>
          <w:b w:val="1"/>
          <w:bCs w:val="1"/>
          <w:rtl w:val="0"/>
        </w:rPr>
        <w:t xml:space="preserve">who owns and operates the infrastructure that enables nationwide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"DATA CENTER AND GATEWAY LOCATION IS A STRATEGIC DECISION, NOT MERELY A TECHNICAL ONE." What does IT REFLECT ABOUT DATA GOVERNANCE IN INDIA?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ANSWER:-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the high value of data sovereignty and national security.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is telling us about Indian data governance.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believes that data created by Indian users should be stored and processed in India. India makes sure by requiring domestic data centres and gateways: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Adherence to the laws of data localisation.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Legal spying and surveillance.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Foreign surveillance and misuse protection.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intent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Domestic gateways are such that: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The legal and regulatory authority rests with Indian authorities.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Delicate information is not freely transferred into other jurisdictions.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suit the larger India objectives of: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Digital sovereignty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Cybersecurity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</w:t>
        <w:tab/>
        <w:t xml:space="preserve">Less dependence on international digital infrastructure.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manner, the sites of the gateway and data centre would assume the role of strategic governance tools rather than engineering decisions.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 THIS REGARD, EXPLAIN THE IMPORTANCE OF GATEWAY AND DATA ROUTING LOCATION IN  INFORMATION SYSTEMS.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ANSWER:-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information systems where data flows in, out and is directed, this defines the system's control.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Key Importances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&amp; Surveillance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government</w:t>
      </w:r>
      <w:r w:rsidDel="00000000" w:rsidR="00000000" w:rsidRPr="00000000">
        <w:rPr>
          <w:rtl w:val="0"/>
        </w:rPr>
        <w:t xml:space="preserve"> can lawfully monitor traffic using domestic gateways. National security structures can be circumvented through foreign routing.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Integrity &amp; Privacy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routing retains information within local legislation and minimises the exposure to external intelligence services.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Reliability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gateways enhance resilience and enable governments to retain services during crises.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Enforcement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domestic routing, enforcing telecom laws on interception, audits, and shutdowns is possible.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India's demand for local gateways for Starlink means that information systems serving the Indian market will be governed by Indian law and, by extension, strategic autonomy.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