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Management Information Systems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093994140625" w:line="240" w:lineRule="auto"/>
        <w:ind w:left="2.4456787109375" w:right="0" w:firstLine="0"/>
        <w:jc w:val="left"/>
        <w:rPr>
          <w:rFonts w:ascii="Times New Roman" w:cs="Times New Roman" w:eastAsia="Times New Roman" w:hAnsi="Times New Roman"/>
          <w:b w:val="0"/>
          <w:bCs w:val="0"/>
          <w:i w:val="1"/>
          <w:iCs w:val="1"/>
          <w:smallCaps w:val="0"/>
          <w:strike w:val="0"/>
          <w:color w:val="000000"/>
          <w:sz w:val="28.079999923706055"/>
          <w:szCs w:val="28.07999992370605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079999923706055"/>
          <w:szCs w:val="28.079999923706055"/>
          <w:u w:val="single"/>
          <w:shd w:fill="auto" w:val="clear"/>
          <w:vertAlign w:val="baseline"/>
          <w:rtl w:val="0"/>
        </w:rPr>
        <w:t xml:space="preserve">Starlink’s Entry into the Indian Telecommunications Market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072265625" w:line="344.9867820739746" w:lineRule="auto"/>
        <w:ind w:left="0.240020751953125" w:right="-6.400146484375" w:firstLine="726.159973144531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last several years, SpaceX’s satellite internet venture, Starlink, led by Elon Musk,  has attempted to enter the Indian telecommunications market, aiming to provide high-speed  satellite broadband across the country, including remote and rural regions. The company’s  business model relies on a constellation of low-Earth-orbit (LEO) satellites to deliver internet  access where terrestrial infrastructure is weak or absent.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53271484375" w:line="344.9036979675293" w:lineRule="auto"/>
        <w:ind w:left="0" w:right="-5.321044921875" w:firstLine="735.519866943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Starlink first attracted regulatory scrutiny in India after initiating pre-orders for services  without a formal license, prompting the Department of Telecommunications (DoT) to intervene  and halt those activities until proper authorization was obtained. Over time, Starlink engaged  with Indian regulators, sought spectrum rights, and negotiated compliance with data  localization and security requirements. Indian authorities stipulated that satellite internet  providers must establish domestic ground infrastructure (earth station gateways), ensure no  user traffic is routed or mirrored through foreign servers, and comply with lawful interception  protocols, among other conditions. These conditions reflect India’s broader emphasis on tech  sovereignty and data security.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63330078125" w:line="344.8619842529297" w:lineRule="auto"/>
        <w:ind w:left="1.920013427734375" w:right="-5.92041015625" w:firstLine="722.559967041015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these negotiations, concerns have persisted within Indian policy circles  regarding national security and the control of communication infrastructure. For instance,  reports of unauthorized Starlink equipment being seized in sensitive regions have contributed  to caution in licensing decisions. At the same time, the Indian space regulator IN-SPACe  granted Starlink a five-year authorization, and distribution partnerships with major domestic  telecom firms (Reliance Jio and Bharti Airtel) have been established, suggesting a pathway  toward eventual service roll-out, contingent on compliance.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811767578125" w:line="344.6487236022949" w:lineRule="auto"/>
        <w:ind w:left="0.240020751953125" w:right="-5.2001953125" w:firstLine="72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United States perspective, Starlink is seen as not only a commercial venture  but also a strategic technology asset that can support global connectivity goals. The U.S.  government has actively advocated for the adoption of Starlink in alliance contexts as part of  broader digital infrastructure diplomacy. Some U.S. policymakers have emphasized the  importance of satellite internet services to counterbalance influence from competing providers  globally. At the same time, there is scrutiny back home over foreign deals involving the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1961669921875" w:lineRule="auto"/>
        <w:ind w:left="7.440032958984375" w:right="-0.08178710937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company’s leadership and geopolitical implications of deploying critical communications  infrastructure abroad.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236328125" w:line="344.6620845794678" w:lineRule="auto"/>
        <w:ind w:left="1.920013427734375" w:right="-5.68115234375" w:firstLine="720.399932861328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Against this backdrop, the Indian government has adopted a cautious, regulation-first  approach. It has insisted on strict compliance with domestic security rules, data localization  norms, and the establishment of physical infrastructure within Indian territory before allowing  Starlink to operate commercially at scale. Indian authorities have also indicated an intention to  limit licences in duration (e.g., five years) as a means to reassess technological, strategic, and  market implications periodically.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56787109375" w:line="240" w:lineRule="auto"/>
        <w:ind w:left="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345.19506454467773" w:lineRule="auto"/>
        <w:ind w:left="722.7999877929688" w:right="-6.160888671875" w:hanging="353.679962158203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core issue is not the novelty of the technology but control over IT infrastructure that enables nationwide communication”. Explain the statement with respect to shared  infrastructure vs. firm-owned infrastructure and strategic dependence on external  technology providers.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44140625" w:line="345.8617401123047" w:lineRule="auto"/>
        <w:ind w:left="723.5198974609375" w:right="-6.160888671875" w:hanging="363.2798767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“Data center and gateway location is a strategic decision, not merely a technical one”.  What does it reflect upon the data governance in India?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585205078125" w:line="345.8612823486328" w:lineRule="auto"/>
        <w:ind w:left="727.3599243164062" w:right="-2.041015625" w:hanging="358.71994018554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In this regard, explain the importance of gateway and data routing location in  information systems.</w:t>
      </w:r>
    </w:p>
    <w:sectPr>
      <w:pgSz w:h="16820" w:w="11900" w:orient="portrait"/>
      <w:pgMar w:bottom="1901.2800598144531" w:top="1418.798828125" w:left="1440" w:right="1378.000488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