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7847" w14:textId="2F3B1589" w:rsidR="001931CF" w:rsidRPr="001931CF" w:rsidRDefault="001931CF" w:rsidP="001931CF">
      <w:pPr>
        <w:rPr>
          <w:b/>
          <w:bCs/>
        </w:rPr>
      </w:pPr>
      <w:r w:rsidRPr="001931CF">
        <w:rPr>
          <w:b/>
          <w:bCs/>
        </w:rPr>
        <w:t>1. Fund Type: Sector-Specific Private Equity Fund</w:t>
      </w:r>
    </w:p>
    <w:p w14:paraId="3EB417BB" w14:textId="77777777" w:rsidR="001931CF" w:rsidRPr="001931CF" w:rsidRDefault="001931CF" w:rsidP="001931CF">
      <w:r w:rsidRPr="001931CF">
        <w:t xml:space="preserve">After evaluating current global market dynamics and India’s rapidly evolving start-up ecosystem, I would set up a </w:t>
      </w:r>
      <w:r w:rsidRPr="001931CF">
        <w:rPr>
          <w:b/>
          <w:bCs/>
        </w:rPr>
        <w:t>sector-specific Private Equity Fund</w:t>
      </w:r>
      <w:r w:rsidRPr="001931CF">
        <w:t xml:space="preserve">, focused on </w:t>
      </w:r>
      <w:r w:rsidRPr="001931CF">
        <w:rPr>
          <w:b/>
          <w:bCs/>
        </w:rPr>
        <w:t>technology and digital innovation</w:t>
      </w:r>
      <w:r w:rsidRPr="001931CF">
        <w:t>.</w:t>
      </w:r>
    </w:p>
    <w:p w14:paraId="1DFF35E8" w14:textId="77777777" w:rsidR="001931CF" w:rsidRPr="001931CF" w:rsidRDefault="001931CF" w:rsidP="001931CF">
      <w:r w:rsidRPr="001931CF">
        <w:t>While sector-agnostic funds allow for diversified risk exposure, they often dilute expertise and management efficiency. A focused approach, in contrast, enables deeper understanding, stronger due diligence, and more meaningful mentorship. The technology sector — spanning Artificial Intelligence (AI), Cloud Computing, Digital Media, SaaS, Fintech, and Consumer Internet — continues to be a driving force of economic growth in India and globally.</w:t>
      </w:r>
    </w:p>
    <w:p w14:paraId="62C3B802" w14:textId="77777777" w:rsidR="001931CF" w:rsidRPr="001931CF" w:rsidRDefault="001931CF" w:rsidP="001931CF">
      <w:r w:rsidRPr="001931CF">
        <w:t>With India now emerging as the world’s third-largest start-up hub, the technology domain represents a high-growth, innovation-driven space. The potential to support early-stage companies building scalable tech products, combined with access to seasoned experts, can deliver strong financial and strategic returns.</w:t>
      </w:r>
    </w:p>
    <w:p w14:paraId="0976FD72" w14:textId="77777777" w:rsidR="001931CF" w:rsidRPr="001931CF" w:rsidRDefault="001931CF" w:rsidP="001931CF">
      <w:r w:rsidRPr="001931CF">
        <w:t xml:space="preserve">A </w:t>
      </w:r>
      <w:r w:rsidRPr="001931CF">
        <w:rPr>
          <w:b/>
          <w:bCs/>
        </w:rPr>
        <w:t>sector-specific technology fund</w:t>
      </w:r>
      <w:r w:rsidRPr="001931CF">
        <w:t xml:space="preserve"> also helps attract investors and partners who bring more than capital — they contribute domain expertise, technical know-how, and mentorship that can be transformative for start-ups. Given these advantages, my PE fund — tentatively titled </w:t>
      </w:r>
      <w:r w:rsidRPr="001931CF">
        <w:rPr>
          <w:b/>
          <w:bCs/>
        </w:rPr>
        <w:t>“</w:t>
      </w:r>
      <w:proofErr w:type="spellStart"/>
      <w:r w:rsidRPr="001931CF">
        <w:rPr>
          <w:b/>
          <w:bCs/>
        </w:rPr>
        <w:t>TechSpring</w:t>
      </w:r>
      <w:proofErr w:type="spellEnd"/>
      <w:r w:rsidRPr="001931CF">
        <w:rPr>
          <w:b/>
          <w:bCs/>
        </w:rPr>
        <w:t xml:space="preserve"> Capital Partners”</w:t>
      </w:r>
      <w:r w:rsidRPr="001931CF">
        <w:t xml:space="preserve"> — will primarily invest in early to mid-stage technology start-ups focused on solving real-world problems through innovation and scalability.</w:t>
      </w:r>
    </w:p>
    <w:p w14:paraId="34E5B44A" w14:textId="77777777" w:rsidR="001931CF" w:rsidRPr="001931CF" w:rsidRDefault="001931CF" w:rsidP="001931CF">
      <w:r w:rsidRPr="001931CF">
        <w:pict w14:anchorId="2256B4EC">
          <v:rect id="_x0000_i1061" style="width:0;height:1.5pt" o:hralign="center" o:hrstd="t" o:hr="t" fillcolor="#a0a0a0" stroked="f"/>
        </w:pict>
      </w:r>
    </w:p>
    <w:p w14:paraId="6B42455C" w14:textId="647132A0" w:rsidR="001931CF" w:rsidRPr="001931CF" w:rsidRDefault="001931CF" w:rsidP="001931CF">
      <w:pPr>
        <w:rPr>
          <w:b/>
          <w:bCs/>
        </w:rPr>
      </w:pPr>
      <w:r w:rsidRPr="001931CF">
        <w:rPr>
          <w:b/>
          <w:bCs/>
        </w:rPr>
        <w:t xml:space="preserve">2. Potential Investors: Five HNIs and </w:t>
      </w:r>
      <w:proofErr w:type="gramStart"/>
      <w:r w:rsidRPr="001931CF">
        <w:rPr>
          <w:b/>
          <w:bCs/>
        </w:rPr>
        <w:t>Two Family</w:t>
      </w:r>
      <w:proofErr w:type="gramEnd"/>
      <w:r w:rsidRPr="001931CF">
        <w:rPr>
          <w:b/>
          <w:bCs/>
        </w:rPr>
        <w:t xml:space="preserve"> Offices</w:t>
      </w:r>
    </w:p>
    <w:p w14:paraId="686BC963" w14:textId="77777777" w:rsidR="001931CF" w:rsidRPr="001931CF" w:rsidRDefault="001931CF" w:rsidP="001931CF">
      <w:r w:rsidRPr="001931CF">
        <w:t xml:space="preserve">To ensure both capital strength and strategic expertise, I would invite five prominent </w:t>
      </w:r>
      <w:r w:rsidRPr="001931CF">
        <w:rPr>
          <w:b/>
          <w:bCs/>
        </w:rPr>
        <w:t>High-Net-Worth Individuals (HNIs)</w:t>
      </w:r>
      <w:r w:rsidRPr="001931CF">
        <w:t xml:space="preserve"> and </w:t>
      </w:r>
      <w:proofErr w:type="gramStart"/>
      <w:r w:rsidRPr="001931CF">
        <w:t xml:space="preserve">two </w:t>
      </w:r>
      <w:r w:rsidRPr="001931CF">
        <w:rPr>
          <w:b/>
          <w:bCs/>
        </w:rPr>
        <w:t>Family</w:t>
      </w:r>
      <w:proofErr w:type="gramEnd"/>
      <w:r w:rsidRPr="001931CF">
        <w:rPr>
          <w:b/>
          <w:bCs/>
        </w:rPr>
        <w:t xml:space="preserve"> Offices</w:t>
      </w:r>
      <w:r w:rsidRPr="001931CF">
        <w:t xml:space="preserve"> who have a proven track record in technology, innovation, and digital transformation.</w:t>
      </w:r>
    </w:p>
    <w:p w14:paraId="0A19DB9F" w14:textId="77777777" w:rsidR="001931CF" w:rsidRPr="001931CF" w:rsidRDefault="001931CF" w:rsidP="001931CF">
      <w:pPr>
        <w:rPr>
          <w:b/>
          <w:bCs/>
        </w:rPr>
      </w:pPr>
      <w:r w:rsidRPr="001931CF">
        <w:rPr>
          <w:b/>
          <w:bCs/>
        </w:rPr>
        <w:t>HNIs</w:t>
      </w:r>
    </w:p>
    <w:p w14:paraId="1D0B1185" w14:textId="77777777" w:rsidR="001931CF" w:rsidRPr="001931CF" w:rsidRDefault="001931CF" w:rsidP="001931CF">
      <w:r w:rsidRPr="001931CF">
        <w:rPr>
          <w:b/>
          <w:bCs/>
        </w:rPr>
        <w:t>1. Rajan Anandan – Managing Director, Peak XV Partners (formerly Sequoia Capital India)</w:t>
      </w:r>
      <w:r w:rsidRPr="001931CF">
        <w:br/>
        <w:t xml:space="preserve">Rajan Anandan is one of India’s most active angel investors, with over 150 start-up investments across domains like Big Data, Cloud SaaS, and AI. His experience at Google India and Microsoft gives him deep insight into the digital ecosystem. His analytical mindset and ability to scale ventures make him a valuable advisor for </w:t>
      </w:r>
      <w:proofErr w:type="spellStart"/>
      <w:r w:rsidRPr="001931CF">
        <w:t>TechSpring</w:t>
      </w:r>
      <w:proofErr w:type="spellEnd"/>
      <w:r w:rsidRPr="001931CF">
        <w:t xml:space="preserve"> Capital’s portfolio companies.</w:t>
      </w:r>
    </w:p>
    <w:p w14:paraId="4CABDBFB" w14:textId="77777777" w:rsidR="001931CF" w:rsidRPr="001931CF" w:rsidRDefault="001931CF" w:rsidP="001931CF">
      <w:r w:rsidRPr="001931CF">
        <w:rPr>
          <w:b/>
          <w:bCs/>
        </w:rPr>
        <w:t>2. Sanjay Mehta – Founder, 100X.VC</w:t>
      </w:r>
      <w:r w:rsidRPr="001931CF">
        <w:br/>
        <w:t xml:space="preserve">A serial entrepreneur and one of India’s most respected early-stage investors, Sanjay Mehta has backed over 150 start-ups, including OYO Rooms and Box8. His investment </w:t>
      </w:r>
      <w:r w:rsidRPr="001931CF">
        <w:lastRenderedPageBreak/>
        <w:t>philosophy of small-ticket, large-volume deals aligns perfectly with early-stage PE strategies. His strong network within India’s start-up ecosystem would open invaluable deal flow channels for our fund.</w:t>
      </w:r>
    </w:p>
    <w:p w14:paraId="7822FCA7" w14:textId="77777777" w:rsidR="001931CF" w:rsidRPr="001931CF" w:rsidRDefault="001931CF" w:rsidP="001931CF">
      <w:r w:rsidRPr="001931CF">
        <w:rPr>
          <w:b/>
          <w:bCs/>
        </w:rPr>
        <w:t>3. Debjani Ghosh – President, NASSCOM</w:t>
      </w:r>
      <w:r w:rsidRPr="001931CF">
        <w:br/>
        <w:t>As a trailblazer in India’s technology leadership landscape, Debjani Ghosh brings not only deep domain knowledge but also credibility and mentorship for tech entrepreneurs. Her experience leading Intel India and advocating for digital transformation across sectors can help shape the strategic direction of portfolio firms.</w:t>
      </w:r>
    </w:p>
    <w:p w14:paraId="71439604" w14:textId="77777777" w:rsidR="001931CF" w:rsidRPr="001931CF" w:rsidRDefault="001931CF" w:rsidP="001931CF">
      <w:r w:rsidRPr="001931CF">
        <w:rPr>
          <w:b/>
          <w:bCs/>
        </w:rPr>
        <w:t>4. Abhishek Rungta – Founder and CEO, Indus Net Technologies</w:t>
      </w:r>
      <w:r w:rsidRPr="001931CF">
        <w:br/>
        <w:t>A self-made entrepreneur from Kolkata, Abhishek Rungta has built one of India’s leading digital transformation companies. His expertise in Software Development, Digital Marketing, and Analytics makes him an ideal partner to mentor early-stage B2B SaaS start-ups. His presence also ensures geographical diversity for our investor base.</w:t>
      </w:r>
    </w:p>
    <w:p w14:paraId="48DF0154" w14:textId="77777777" w:rsidR="001931CF" w:rsidRPr="001931CF" w:rsidRDefault="001931CF" w:rsidP="001931CF">
      <w:r w:rsidRPr="001931CF">
        <w:rPr>
          <w:b/>
          <w:bCs/>
        </w:rPr>
        <w:t>5. Anupam Mittal – Founder, People Group (Shaadi.com, Makaan.com)</w:t>
      </w:r>
      <w:r w:rsidRPr="001931CF">
        <w:br/>
        <w:t xml:space="preserve">As a prominent angel investor and television personality from </w:t>
      </w:r>
      <w:r w:rsidRPr="001931CF">
        <w:rPr>
          <w:i/>
          <w:iCs/>
        </w:rPr>
        <w:t>Shark Tank India</w:t>
      </w:r>
      <w:r w:rsidRPr="001931CF">
        <w:t xml:space="preserve">, Anupam Mittal has invested in over 80 start-ups spanning Fintech, Consumer Tech, and Media. His marketing acumen and understanding of consumer internet </w:t>
      </w:r>
      <w:proofErr w:type="spellStart"/>
      <w:r w:rsidRPr="001931CF">
        <w:t>behavior</w:t>
      </w:r>
      <w:proofErr w:type="spellEnd"/>
      <w:r w:rsidRPr="001931CF">
        <w:t xml:space="preserve"> can guide B2C digital platforms within our portfolio to scale sustainably.</w:t>
      </w:r>
    </w:p>
    <w:p w14:paraId="2E42C052" w14:textId="77777777" w:rsidR="001931CF" w:rsidRPr="001931CF" w:rsidRDefault="001931CF" w:rsidP="001931CF">
      <w:r w:rsidRPr="001931CF">
        <w:pict w14:anchorId="73678791">
          <v:rect id="_x0000_i1062" style="width:0;height:1.5pt" o:hralign="center" o:hrstd="t" o:hr="t" fillcolor="#a0a0a0" stroked="f"/>
        </w:pict>
      </w:r>
    </w:p>
    <w:p w14:paraId="51D8C43B" w14:textId="77777777" w:rsidR="001931CF" w:rsidRPr="001931CF" w:rsidRDefault="001931CF" w:rsidP="001931CF">
      <w:pPr>
        <w:rPr>
          <w:b/>
          <w:bCs/>
        </w:rPr>
      </w:pPr>
      <w:r w:rsidRPr="001931CF">
        <w:rPr>
          <w:b/>
          <w:bCs/>
        </w:rPr>
        <w:t>Family Offices</w:t>
      </w:r>
    </w:p>
    <w:p w14:paraId="03ECFF5A" w14:textId="77777777" w:rsidR="001931CF" w:rsidRPr="001931CF" w:rsidRDefault="001931CF" w:rsidP="001931CF">
      <w:r w:rsidRPr="001931CF">
        <w:rPr>
          <w:b/>
          <w:bCs/>
        </w:rPr>
        <w:t>1. Catamaran Ventures – N.R. Narayana Murthy Family Office</w:t>
      </w:r>
      <w:r w:rsidRPr="001931CF">
        <w:br/>
        <w:t xml:space="preserve">Founded by the Infosys co-founder, Catamaran Ventures has a strong track record in nurturing start-ups across IT, e-commerce, and healthcare. Their flexible investment horizon and governance-first approach align well with </w:t>
      </w:r>
      <w:proofErr w:type="spellStart"/>
      <w:r w:rsidRPr="001931CF">
        <w:t>TechSpring</w:t>
      </w:r>
      <w:proofErr w:type="spellEnd"/>
      <w:r w:rsidRPr="001931CF">
        <w:t xml:space="preserve"> Capital’s philosophy. Their involvement adds immense brand credibility and a long-term perspective to the fund’s operations.</w:t>
      </w:r>
    </w:p>
    <w:p w14:paraId="360CD319" w14:textId="77777777" w:rsidR="001931CF" w:rsidRPr="001931CF" w:rsidRDefault="001931CF" w:rsidP="001931CF">
      <w:r w:rsidRPr="001931CF">
        <w:rPr>
          <w:b/>
          <w:bCs/>
        </w:rPr>
        <w:t>2. RNT Associates – Ratan Tata Family Office</w:t>
      </w:r>
      <w:r w:rsidRPr="001931CF">
        <w:br/>
        <w:t xml:space="preserve">RNT Associates, established by Ratan Tata, has been instrumental in funding innovative ventures through collaborations with global institutions. Their participation would help expand </w:t>
      </w:r>
      <w:proofErr w:type="spellStart"/>
      <w:r w:rsidRPr="001931CF">
        <w:t>TechSpring</w:t>
      </w:r>
      <w:proofErr w:type="spellEnd"/>
      <w:r w:rsidRPr="001931CF">
        <w:t xml:space="preserve"> Capital’s access to international co-investors and facilitate potential cross-border collaborations for Indian start-ups.</w:t>
      </w:r>
    </w:p>
    <w:p w14:paraId="250B30CA" w14:textId="77777777" w:rsidR="001931CF" w:rsidRPr="001931CF" w:rsidRDefault="001931CF" w:rsidP="001931CF">
      <w:r w:rsidRPr="001931CF">
        <w:pict w14:anchorId="65C8AA9A">
          <v:rect id="_x0000_i1063" style="width:0;height:1.5pt" o:hralign="center" o:hrstd="t" o:hr="t" fillcolor="#a0a0a0" stroked="f"/>
        </w:pict>
      </w:r>
    </w:p>
    <w:p w14:paraId="395B6C88" w14:textId="77777777" w:rsidR="001931CF" w:rsidRPr="001931CF" w:rsidRDefault="001931CF" w:rsidP="001931CF">
      <w:r w:rsidRPr="001931CF">
        <w:t>Together, these seven investors bring a mix of financial strength, mentorship potential, and institutional backing. Their combined experience in technology innovation, scalability, and global expansion will help the fund identify and nurture the next generation of high-impact digital ventures in India and beyond.</w:t>
      </w:r>
    </w:p>
    <w:p w14:paraId="035F6B43" w14:textId="77777777" w:rsidR="001931CF" w:rsidRPr="001931CF" w:rsidRDefault="001931CF" w:rsidP="001931CF">
      <w:r w:rsidRPr="001931CF">
        <w:lastRenderedPageBreak/>
        <w:pict w14:anchorId="5E45C98F">
          <v:rect id="_x0000_i1064" style="width:0;height:1.5pt" o:hralign="center" o:hrstd="t" o:hr="t" fillcolor="#a0a0a0" stroked="f"/>
        </w:pict>
      </w:r>
    </w:p>
    <w:p w14:paraId="7EA2923F" w14:textId="45809C49" w:rsidR="001931CF" w:rsidRPr="001931CF" w:rsidRDefault="001931CF" w:rsidP="001931CF">
      <w:pPr>
        <w:rPr>
          <w:b/>
          <w:bCs/>
        </w:rPr>
      </w:pPr>
      <w:r w:rsidRPr="001931CF">
        <w:rPr>
          <w:b/>
          <w:bCs/>
        </w:rPr>
        <w:t xml:space="preserve">3. Type of Private Equity Investment </w:t>
      </w:r>
    </w:p>
    <w:p w14:paraId="3DD181D5" w14:textId="77777777" w:rsidR="001931CF" w:rsidRPr="001931CF" w:rsidRDefault="001931CF" w:rsidP="001931CF">
      <w:proofErr w:type="spellStart"/>
      <w:r w:rsidRPr="001931CF">
        <w:t>TechSpring</w:t>
      </w:r>
      <w:proofErr w:type="spellEnd"/>
      <w:r w:rsidRPr="001931CF">
        <w:t xml:space="preserve"> Capital Partners will focus on </w:t>
      </w:r>
      <w:r w:rsidRPr="001931CF">
        <w:rPr>
          <w:b/>
          <w:bCs/>
        </w:rPr>
        <w:t>early-stage and growth-stage private equity investments</w:t>
      </w:r>
      <w:r w:rsidRPr="001931CF">
        <w:t xml:space="preserve">, primarily targeting companies in the </w:t>
      </w:r>
      <w:r w:rsidRPr="001931CF">
        <w:rPr>
          <w:b/>
          <w:bCs/>
        </w:rPr>
        <w:t>commercialization and early growth phases</w:t>
      </w:r>
      <w:r w:rsidRPr="001931CF">
        <w:t xml:space="preserve"> of their life cycle.</w:t>
      </w:r>
    </w:p>
    <w:p w14:paraId="296EA777" w14:textId="77777777" w:rsidR="001931CF" w:rsidRPr="001931CF" w:rsidRDefault="001931CF" w:rsidP="001931CF">
      <w:r w:rsidRPr="001931CF">
        <w:t xml:space="preserve">The </w:t>
      </w:r>
      <w:r w:rsidRPr="001931CF">
        <w:rPr>
          <w:b/>
          <w:bCs/>
        </w:rPr>
        <w:t>commercialization stage</w:t>
      </w:r>
      <w:r w:rsidRPr="001931CF">
        <w:t xml:space="preserve"> is when start-ups have validated their product-market fit but require strategic support to scale operations, optimize sales channels, and refine business models. Investing at this stage carries moderate risk but offers significant upside potential as valuations are still attractive and growth trajectories can be shaped.</w:t>
      </w:r>
    </w:p>
    <w:p w14:paraId="151B46F7" w14:textId="77777777" w:rsidR="001931CF" w:rsidRPr="001931CF" w:rsidRDefault="001931CF" w:rsidP="001931CF">
      <w:r w:rsidRPr="001931CF">
        <w:t xml:space="preserve">The </w:t>
      </w:r>
      <w:r w:rsidRPr="001931CF">
        <w:rPr>
          <w:b/>
          <w:bCs/>
        </w:rPr>
        <w:t>early growth stage</w:t>
      </w:r>
      <w:r w:rsidRPr="001931CF">
        <w:t xml:space="preserve"> represents the transition from product validation to market penetration. Companies at this point have begun generating revenue but need substantial funding for customer acquisition, team expansion, and technology enhancement. Private equity funding at this stage enables accelerated growth and prepares the company for Series B/C or pre-IPO rounds.</w:t>
      </w:r>
    </w:p>
    <w:p w14:paraId="527E3730" w14:textId="77777777" w:rsidR="001931CF" w:rsidRPr="001931CF" w:rsidRDefault="001931CF" w:rsidP="001931CF">
      <w:r w:rsidRPr="001931CF">
        <w:t>While these stages are riskier compared to mature-stage investments, the potential returns — both in financial terms and strategic influence — are significantly higher. Given our investor pool of experienced entrepreneurs and technologists, the fund will not only provide capital but also guidance on scaling, governance, and global market access.</w:t>
      </w:r>
    </w:p>
    <w:p w14:paraId="4F1814E3" w14:textId="77777777" w:rsidR="001931CF" w:rsidRPr="001931CF" w:rsidRDefault="001931CF" w:rsidP="001931CF">
      <w:r w:rsidRPr="001931CF">
        <w:t xml:space="preserve">By focusing on early and growth-stage investments, </w:t>
      </w:r>
      <w:proofErr w:type="spellStart"/>
      <w:r w:rsidRPr="001931CF">
        <w:t>TechSpring</w:t>
      </w:r>
      <w:proofErr w:type="spellEnd"/>
      <w:r w:rsidRPr="001931CF">
        <w:t xml:space="preserve"> Capital aims to bridge the gap between seed capital and institutional funding — supporting companies just when they need smart capital the most.</w:t>
      </w:r>
    </w:p>
    <w:p w14:paraId="69E62A3E" w14:textId="77777777" w:rsidR="001931CF" w:rsidRPr="001931CF" w:rsidRDefault="001931CF" w:rsidP="001931CF">
      <w:r w:rsidRPr="001931CF">
        <w:pict w14:anchorId="36525734">
          <v:rect id="_x0000_i1065" style="width:0;height:1.5pt" o:hralign="center" o:hrstd="t" o:hr="t" fillcolor="#a0a0a0" stroked="f"/>
        </w:pict>
      </w:r>
    </w:p>
    <w:p w14:paraId="3DEF8E4D" w14:textId="77777777" w:rsidR="001931CF" w:rsidRPr="001931CF" w:rsidRDefault="001931CF" w:rsidP="001931CF">
      <w:pPr>
        <w:rPr>
          <w:b/>
          <w:bCs/>
        </w:rPr>
      </w:pPr>
      <w:r w:rsidRPr="001931CF">
        <w:rPr>
          <w:b/>
          <w:bCs/>
        </w:rPr>
        <w:t>4. Market Scouting Strategy (≈250 words)</w:t>
      </w:r>
    </w:p>
    <w:p w14:paraId="2A32EA87" w14:textId="77777777" w:rsidR="001931CF" w:rsidRPr="001931CF" w:rsidRDefault="001931CF" w:rsidP="001931CF">
      <w:r w:rsidRPr="001931CF">
        <w:t xml:space="preserve">Identifying promising investment opportunities is at the heart of any successful PE fund. For </w:t>
      </w:r>
      <w:proofErr w:type="spellStart"/>
      <w:r w:rsidRPr="001931CF">
        <w:t>TechSpring</w:t>
      </w:r>
      <w:proofErr w:type="spellEnd"/>
      <w:r w:rsidRPr="001931CF">
        <w:t xml:space="preserve"> Capital, the primary strategy will be a </w:t>
      </w:r>
      <w:r w:rsidRPr="001931CF">
        <w:rPr>
          <w:b/>
          <w:bCs/>
        </w:rPr>
        <w:t>network-driven and institution-based scouting approach</w:t>
      </w:r>
      <w:r w:rsidRPr="001931CF">
        <w:t>.</w:t>
      </w:r>
    </w:p>
    <w:p w14:paraId="7E5C0C9D" w14:textId="77777777" w:rsidR="001931CF" w:rsidRPr="001931CF" w:rsidRDefault="001931CF" w:rsidP="001931CF">
      <w:pPr>
        <w:rPr>
          <w:b/>
          <w:bCs/>
        </w:rPr>
      </w:pPr>
      <w:r w:rsidRPr="001931CF">
        <w:rPr>
          <w:b/>
          <w:bCs/>
        </w:rPr>
        <w:t>Network-Driven Scouting</w:t>
      </w:r>
    </w:p>
    <w:p w14:paraId="2C5CDF7E" w14:textId="77777777" w:rsidR="001931CF" w:rsidRPr="001931CF" w:rsidRDefault="001931CF" w:rsidP="001931CF">
      <w:r w:rsidRPr="001931CF">
        <w:t>Leveraging the professional networks of our investors — including HNIs like Rajan Anandan and Sanjay Mehta — will give us access to a steady pipeline of quality start-ups. These individuals are already part of India’s most active investment networks, accelerators, and technology summits. By collaborating with angel networks, industry associations (like NASSCOM), and venture builders, the fund can identify high-potential start-ups even before they enter mainstream visibility.</w:t>
      </w:r>
    </w:p>
    <w:p w14:paraId="01F6B361" w14:textId="77777777" w:rsidR="001931CF" w:rsidRPr="001931CF" w:rsidRDefault="001931CF" w:rsidP="001931CF">
      <w:pPr>
        <w:rPr>
          <w:b/>
          <w:bCs/>
        </w:rPr>
      </w:pPr>
      <w:r w:rsidRPr="001931CF">
        <w:rPr>
          <w:b/>
          <w:bCs/>
        </w:rPr>
        <w:t>Institution-Based Scouting</w:t>
      </w:r>
    </w:p>
    <w:p w14:paraId="704C321A" w14:textId="77777777" w:rsidR="001931CF" w:rsidRPr="001931CF" w:rsidRDefault="001931CF" w:rsidP="001931CF">
      <w:r w:rsidRPr="001931CF">
        <w:lastRenderedPageBreak/>
        <w:t xml:space="preserve">We will also build partnerships with </w:t>
      </w:r>
      <w:r w:rsidRPr="001931CF">
        <w:rPr>
          <w:b/>
          <w:bCs/>
        </w:rPr>
        <w:t>incubators, accelerators, and innovation labs</w:t>
      </w:r>
      <w:r w:rsidRPr="001931CF">
        <w:t xml:space="preserve">, such as T-Hub, CIIE.CO (IIM Ahmedabad), and </w:t>
      </w:r>
      <w:proofErr w:type="spellStart"/>
      <w:r w:rsidRPr="001931CF">
        <w:t>Nasscom</w:t>
      </w:r>
      <w:proofErr w:type="spellEnd"/>
      <w:r w:rsidRPr="001931CF">
        <w:t xml:space="preserve"> 10,000 Startups. These institutions already nurture early-stage founders and conduct structured programs on validation, product design, and go-to-market strategies. This makes their alumni pool ideal for early-stage PE investments.</w:t>
      </w:r>
    </w:p>
    <w:p w14:paraId="362B138C" w14:textId="77777777" w:rsidR="001931CF" w:rsidRPr="001931CF" w:rsidRDefault="001931CF" w:rsidP="001931CF">
      <w:r w:rsidRPr="001931CF">
        <w:t xml:space="preserve">In addition, participating in </w:t>
      </w:r>
      <w:r w:rsidRPr="001931CF">
        <w:rPr>
          <w:b/>
          <w:bCs/>
        </w:rPr>
        <w:t>tech demo days, innovation challenges, and pitch events</w:t>
      </w:r>
      <w:r w:rsidRPr="001931CF">
        <w:t xml:space="preserve"> will enhance visibility among founders while enabling early engagement with promising ventures.</w:t>
      </w:r>
    </w:p>
    <w:p w14:paraId="2D99B542" w14:textId="77777777" w:rsidR="001931CF" w:rsidRPr="001931CF" w:rsidRDefault="001931CF" w:rsidP="001931CF">
      <w:r w:rsidRPr="001931CF">
        <w:t>This dual scouting strategy ensures access to well-prepared entrepreneurs with validated business models — minimizing the risk of investing in untested ideas while maintaining early-stage upside potential.</w:t>
      </w:r>
    </w:p>
    <w:p w14:paraId="7CCB5ED1" w14:textId="77777777" w:rsidR="001931CF" w:rsidRPr="001931CF" w:rsidRDefault="001931CF" w:rsidP="001931CF">
      <w:r w:rsidRPr="001931CF">
        <w:pict w14:anchorId="0FE84115">
          <v:rect id="_x0000_i1066" style="width:0;height:1.5pt" o:hralign="center" o:hrstd="t" o:hr="t" fillcolor="#a0a0a0" stroked="f"/>
        </w:pict>
      </w:r>
    </w:p>
    <w:p w14:paraId="210180D2" w14:textId="42E42588" w:rsidR="001931CF" w:rsidRPr="001931CF" w:rsidRDefault="001931CF" w:rsidP="001931CF">
      <w:pPr>
        <w:rPr>
          <w:b/>
          <w:bCs/>
        </w:rPr>
      </w:pPr>
      <w:r w:rsidRPr="001931CF">
        <w:rPr>
          <w:b/>
          <w:bCs/>
        </w:rPr>
        <w:t>5. Screening Criteria: Key Evaluation Parameters</w:t>
      </w:r>
    </w:p>
    <w:p w14:paraId="51B7CCBC" w14:textId="77777777" w:rsidR="001931CF" w:rsidRPr="001931CF" w:rsidRDefault="001931CF" w:rsidP="001931CF">
      <w:r w:rsidRPr="001931CF">
        <w:t xml:space="preserve">The </w:t>
      </w:r>
      <w:r w:rsidRPr="001931CF">
        <w:rPr>
          <w:b/>
          <w:bCs/>
        </w:rPr>
        <w:t>screening process</w:t>
      </w:r>
      <w:r w:rsidRPr="001931CF">
        <w:t xml:space="preserve"> ensures that </w:t>
      </w:r>
      <w:proofErr w:type="spellStart"/>
      <w:r w:rsidRPr="001931CF">
        <w:t>TechSpring</w:t>
      </w:r>
      <w:proofErr w:type="spellEnd"/>
      <w:r w:rsidRPr="001931CF">
        <w:t xml:space="preserve"> Capital invests only in companies aligned with our strategic, financial, and ethical goals. Among various due diligence metrics, the two most critical parameters for our fund will be </w:t>
      </w:r>
      <w:r w:rsidRPr="001931CF">
        <w:rPr>
          <w:b/>
          <w:bCs/>
        </w:rPr>
        <w:t>Market Size</w:t>
      </w:r>
      <w:r w:rsidRPr="001931CF">
        <w:t xml:space="preserve"> and </w:t>
      </w:r>
      <w:r w:rsidRPr="001931CF">
        <w:rPr>
          <w:b/>
          <w:bCs/>
        </w:rPr>
        <w:t>Business Model Robustness</w:t>
      </w:r>
      <w:r w:rsidRPr="001931CF">
        <w:t>.</w:t>
      </w:r>
    </w:p>
    <w:p w14:paraId="133616FA" w14:textId="77777777" w:rsidR="001931CF" w:rsidRPr="001931CF" w:rsidRDefault="001931CF" w:rsidP="001931CF">
      <w:pPr>
        <w:rPr>
          <w:b/>
          <w:bCs/>
        </w:rPr>
      </w:pPr>
      <w:r w:rsidRPr="001931CF">
        <w:rPr>
          <w:b/>
          <w:bCs/>
        </w:rPr>
        <w:t>1. Market Size (Total Addressable Market - TAM)</w:t>
      </w:r>
    </w:p>
    <w:p w14:paraId="1D1C1DA9" w14:textId="77777777" w:rsidR="001931CF" w:rsidRPr="001931CF" w:rsidRDefault="001931CF" w:rsidP="001931CF">
      <w:r w:rsidRPr="001931CF">
        <w:t xml:space="preserve">Market size determines the scalability potential of a start-up. Our focus will be on start-ups addressing </w:t>
      </w:r>
      <w:r w:rsidRPr="001931CF">
        <w:rPr>
          <w:b/>
          <w:bCs/>
        </w:rPr>
        <w:t>large and fast-growing markets</w:t>
      </w:r>
      <w:r w:rsidRPr="001931CF">
        <w:t>, typically exceeding $1 billion in TAM. A large addressable market ensures that even modest market share translates to substantial revenue.</w:t>
      </w:r>
      <w:r w:rsidRPr="001931CF">
        <w:br/>
        <w:t>For instance, a SaaS product targeting digital payments, cybersecurity, or SME automation has long-term scalability, given India’s rapid digital adoption. Market size also influences the exit strategy — a start-up operating in a growing sector is more likely to attract strategic acquirers or public market interest.</w:t>
      </w:r>
    </w:p>
    <w:p w14:paraId="5AAA8FA5" w14:textId="77777777" w:rsidR="001931CF" w:rsidRPr="001931CF" w:rsidRDefault="001931CF" w:rsidP="001931CF">
      <w:pPr>
        <w:rPr>
          <w:b/>
          <w:bCs/>
        </w:rPr>
      </w:pPr>
      <w:r w:rsidRPr="001931CF">
        <w:rPr>
          <w:b/>
          <w:bCs/>
        </w:rPr>
        <w:t>2. Business Model Robustness and Unit Economics</w:t>
      </w:r>
    </w:p>
    <w:p w14:paraId="5C559012" w14:textId="77777777" w:rsidR="001931CF" w:rsidRPr="001931CF" w:rsidRDefault="001931CF" w:rsidP="001931CF">
      <w:r w:rsidRPr="001931CF">
        <w:t xml:space="preserve">While innovation attracts attention, sustainability ensures survival. The business model must demonstrate </w:t>
      </w:r>
      <w:r w:rsidRPr="001931CF">
        <w:rPr>
          <w:b/>
          <w:bCs/>
        </w:rPr>
        <w:t>clear revenue pathways</w:t>
      </w:r>
      <w:r w:rsidRPr="001931CF">
        <w:t xml:space="preserve">, </w:t>
      </w:r>
      <w:r w:rsidRPr="001931CF">
        <w:rPr>
          <w:b/>
          <w:bCs/>
        </w:rPr>
        <w:t>strong unit economics</w:t>
      </w:r>
      <w:r w:rsidRPr="001931CF">
        <w:t xml:space="preserve">, and a </w:t>
      </w:r>
      <w:r w:rsidRPr="001931CF">
        <w:rPr>
          <w:b/>
          <w:bCs/>
        </w:rPr>
        <w:t>realistic cost structure</w:t>
      </w:r>
      <w:r w:rsidRPr="001931CF">
        <w:t>. Start-ups should have measurable KPIs such as Customer Acquisition Cost (CAC), Customer Lifetime Value (LTV), and Gross Margin trends.</w:t>
      </w:r>
      <w:r w:rsidRPr="001931CF">
        <w:br/>
        <w:t>A scalable model with improving margins indicates strong operational discipline. It also reflects the founder’s understanding of business fundamentals — a crucial factor at commercialization and early growth stages.</w:t>
      </w:r>
    </w:p>
    <w:p w14:paraId="5984E84A" w14:textId="77777777" w:rsidR="001931CF" w:rsidRPr="001931CF" w:rsidRDefault="001931CF" w:rsidP="001931CF">
      <w:r w:rsidRPr="001931CF">
        <w:t xml:space="preserve">By focusing on these two parameters, </w:t>
      </w:r>
      <w:proofErr w:type="spellStart"/>
      <w:r w:rsidRPr="001931CF">
        <w:t>TechSpring</w:t>
      </w:r>
      <w:proofErr w:type="spellEnd"/>
      <w:r w:rsidRPr="001931CF">
        <w:t xml:space="preserve"> Capital ensures it invests in </w:t>
      </w:r>
      <w:r w:rsidRPr="001931CF">
        <w:rPr>
          <w:b/>
          <w:bCs/>
        </w:rPr>
        <w:t>ambitious yet realistic ventures</w:t>
      </w:r>
      <w:r w:rsidRPr="001931CF">
        <w:t xml:space="preserve"> — companies capable of both rapid growth and </w:t>
      </w:r>
      <w:r w:rsidRPr="001931CF">
        <w:lastRenderedPageBreak/>
        <w:t>operational excellence. Combined with our mentorship-driven approach, this focus will enable portfolio firms to build enduring, profitable businesses that create long-term value for all stakeholders.</w:t>
      </w:r>
    </w:p>
    <w:p w14:paraId="0954A79A" w14:textId="77777777" w:rsidR="001931CF" w:rsidRDefault="001931CF"/>
    <w:sectPr w:rsidR="00193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CF"/>
    <w:rsid w:val="00125838"/>
    <w:rsid w:val="00193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334F"/>
  <w15:chartTrackingRefBased/>
  <w15:docId w15:val="{3371AC52-8671-4420-A65C-393CC9598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1CF"/>
    <w:rPr>
      <w:rFonts w:eastAsiaTheme="majorEastAsia" w:cstheme="majorBidi"/>
      <w:color w:val="272727" w:themeColor="text1" w:themeTint="D8"/>
    </w:rPr>
  </w:style>
  <w:style w:type="paragraph" w:styleId="Title">
    <w:name w:val="Title"/>
    <w:basedOn w:val="Normal"/>
    <w:next w:val="Normal"/>
    <w:link w:val="TitleChar"/>
    <w:uiPriority w:val="10"/>
    <w:qFormat/>
    <w:rsid w:val="00193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1CF"/>
    <w:pPr>
      <w:spacing w:before="160"/>
      <w:jc w:val="center"/>
    </w:pPr>
    <w:rPr>
      <w:i/>
      <w:iCs/>
      <w:color w:val="404040" w:themeColor="text1" w:themeTint="BF"/>
    </w:rPr>
  </w:style>
  <w:style w:type="character" w:customStyle="1" w:styleId="QuoteChar">
    <w:name w:val="Quote Char"/>
    <w:basedOn w:val="DefaultParagraphFont"/>
    <w:link w:val="Quote"/>
    <w:uiPriority w:val="29"/>
    <w:rsid w:val="001931CF"/>
    <w:rPr>
      <w:i/>
      <w:iCs/>
      <w:color w:val="404040" w:themeColor="text1" w:themeTint="BF"/>
    </w:rPr>
  </w:style>
  <w:style w:type="paragraph" w:styleId="ListParagraph">
    <w:name w:val="List Paragraph"/>
    <w:basedOn w:val="Normal"/>
    <w:uiPriority w:val="34"/>
    <w:qFormat/>
    <w:rsid w:val="001931CF"/>
    <w:pPr>
      <w:ind w:left="720"/>
      <w:contextualSpacing/>
    </w:pPr>
  </w:style>
  <w:style w:type="character" w:styleId="IntenseEmphasis">
    <w:name w:val="Intense Emphasis"/>
    <w:basedOn w:val="DefaultParagraphFont"/>
    <w:uiPriority w:val="21"/>
    <w:qFormat/>
    <w:rsid w:val="001931CF"/>
    <w:rPr>
      <w:i/>
      <w:iCs/>
      <w:color w:val="0F4761" w:themeColor="accent1" w:themeShade="BF"/>
    </w:rPr>
  </w:style>
  <w:style w:type="paragraph" w:styleId="IntenseQuote">
    <w:name w:val="Intense Quote"/>
    <w:basedOn w:val="Normal"/>
    <w:next w:val="Normal"/>
    <w:link w:val="IntenseQuoteChar"/>
    <w:uiPriority w:val="30"/>
    <w:qFormat/>
    <w:rsid w:val="00193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1CF"/>
    <w:rPr>
      <w:i/>
      <w:iCs/>
      <w:color w:val="0F4761" w:themeColor="accent1" w:themeShade="BF"/>
    </w:rPr>
  </w:style>
  <w:style w:type="character" w:styleId="IntenseReference">
    <w:name w:val="Intense Reference"/>
    <w:basedOn w:val="DefaultParagraphFont"/>
    <w:uiPriority w:val="32"/>
    <w:qFormat/>
    <w:rsid w:val="00193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1376</Words>
  <Characters>8440</Characters>
  <Application>Microsoft Office Word</Application>
  <DocSecurity>0</DocSecurity>
  <Lines>324</Lines>
  <Paragraphs>272</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1</cp:revision>
  <dcterms:created xsi:type="dcterms:W3CDTF">2025-10-14T16:13:00Z</dcterms:created>
  <dcterms:modified xsi:type="dcterms:W3CDTF">2025-10-14T16:14:00Z</dcterms:modified>
</cp:coreProperties>
</file>