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0EF39" w14:textId="77777777" w:rsidR="00194DF7" w:rsidRPr="00194DF7" w:rsidRDefault="00194DF7" w:rsidP="002B0FBC">
      <w:pPr>
        <w:spacing w:after="100" w:afterAutospacing="1" w:line="240" w:lineRule="auto"/>
        <w:jc w:val="center"/>
        <w:rPr>
          <w:rFonts w:ascii="Times New Roman" w:eastAsia="Times New Roman" w:hAnsi="Times New Roman" w:cs="Times New Roman"/>
          <w:b/>
          <w:bCs/>
          <w:color w:val="1B1C1D"/>
          <w:kern w:val="0"/>
          <w:lang w:eastAsia="en-IN"/>
          <w14:ligatures w14:val="none"/>
        </w:rPr>
      </w:pPr>
      <w:r w:rsidRPr="00194DF7">
        <w:rPr>
          <w:rFonts w:ascii="Times New Roman" w:eastAsia="Times New Roman" w:hAnsi="Times New Roman" w:cs="Times New Roman"/>
          <w:b/>
          <w:bCs/>
          <w:color w:val="1B1C1D"/>
          <w:kern w:val="0"/>
          <w:lang w:eastAsia="en-IN"/>
          <w14:ligatures w14:val="none"/>
        </w:rPr>
        <w:t>END-TERM PROJECT REPORT</w:t>
      </w:r>
    </w:p>
    <w:p w14:paraId="72165CA2" w14:textId="77777777" w:rsidR="00194DF7" w:rsidRPr="00194DF7" w:rsidRDefault="00194DF7" w:rsidP="002B0FBC">
      <w:pPr>
        <w:spacing w:after="100" w:afterAutospacing="1" w:line="240" w:lineRule="auto"/>
        <w:jc w:val="center"/>
        <w:rPr>
          <w:rFonts w:ascii="Times New Roman" w:eastAsia="Times New Roman" w:hAnsi="Times New Roman" w:cs="Times New Roman"/>
          <w:b/>
          <w:bCs/>
          <w:color w:val="1B1C1D"/>
          <w:kern w:val="0"/>
          <w:lang w:eastAsia="en-IN"/>
          <w14:ligatures w14:val="none"/>
        </w:rPr>
      </w:pPr>
      <w:r w:rsidRPr="00194DF7">
        <w:rPr>
          <w:rFonts w:ascii="Times New Roman" w:eastAsia="Times New Roman" w:hAnsi="Times New Roman" w:cs="Times New Roman"/>
          <w:b/>
          <w:bCs/>
          <w:color w:val="1B1C1D"/>
          <w:kern w:val="0"/>
          <w:lang w:eastAsia="en-IN"/>
          <w14:ligatures w14:val="none"/>
        </w:rPr>
        <w:t>Course: Designing Work Organizations</w:t>
      </w:r>
    </w:p>
    <w:p w14:paraId="5EECA7AA" w14:textId="77777777" w:rsidR="00194DF7" w:rsidRPr="00194DF7" w:rsidRDefault="00194DF7" w:rsidP="002B0FBC">
      <w:pPr>
        <w:spacing w:after="100" w:afterAutospacing="1" w:line="240" w:lineRule="auto"/>
        <w:jc w:val="center"/>
        <w:rPr>
          <w:rFonts w:ascii="Times New Roman" w:eastAsia="Times New Roman" w:hAnsi="Times New Roman" w:cs="Times New Roman"/>
          <w:b/>
          <w:bCs/>
          <w:color w:val="1B1C1D"/>
          <w:kern w:val="0"/>
          <w:lang w:eastAsia="en-IN"/>
          <w14:ligatures w14:val="none"/>
        </w:rPr>
      </w:pPr>
      <w:r w:rsidRPr="00194DF7">
        <w:rPr>
          <w:rFonts w:ascii="Times New Roman" w:eastAsia="Times New Roman" w:hAnsi="Times New Roman" w:cs="Times New Roman"/>
          <w:b/>
          <w:bCs/>
          <w:color w:val="1B1C1D"/>
          <w:kern w:val="0"/>
          <w:lang w:eastAsia="en-IN"/>
          <w14:ligatures w14:val="none"/>
        </w:rPr>
        <w:t>Topic: Organizational Design &amp; Strategic Critique of KPMG &amp; Sabre</w:t>
      </w:r>
    </w:p>
    <w:p w14:paraId="37E9057E" w14:textId="77777777" w:rsidR="00194DF7" w:rsidRPr="00194DF7" w:rsidRDefault="00194DF7" w:rsidP="002B0FBC">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Submitted By:</w:t>
      </w:r>
    </w:p>
    <w:tbl>
      <w:tblPr>
        <w:tblW w:w="0" w:type="auto"/>
        <w:tblCellSpacing w:w="15" w:type="dxa"/>
        <w:tblInd w:w="2217" w:type="dxa"/>
        <w:tblCellMar>
          <w:left w:w="0" w:type="dxa"/>
          <w:right w:w="0" w:type="dxa"/>
        </w:tblCellMar>
        <w:tblLook w:val="04A0" w:firstRow="1" w:lastRow="0" w:firstColumn="1" w:lastColumn="0" w:noHBand="0" w:noVBand="1"/>
      </w:tblPr>
      <w:tblGrid>
        <w:gridCol w:w="2802"/>
        <w:gridCol w:w="1942"/>
      </w:tblGrid>
      <w:tr w:rsidR="00194DF7" w:rsidRPr="00194DF7" w14:paraId="28298F3F" w14:textId="77777777" w:rsidTr="002B0FB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4795C" w14:textId="77777777" w:rsidR="00194DF7" w:rsidRPr="00194DF7" w:rsidRDefault="00194DF7" w:rsidP="002B0FBC">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075F1" w14:textId="77777777" w:rsidR="00194DF7" w:rsidRPr="00194DF7" w:rsidRDefault="00194DF7" w:rsidP="002B0FBC">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ID</w:t>
            </w:r>
          </w:p>
        </w:tc>
      </w:tr>
      <w:tr w:rsidR="00194DF7" w:rsidRPr="00194DF7" w14:paraId="45778CAB" w14:textId="77777777" w:rsidTr="002B0F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92A05" w14:textId="77777777" w:rsidR="00194DF7" w:rsidRPr="00194DF7" w:rsidRDefault="00194DF7" w:rsidP="002B0FBC">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ROHIT GHOSH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DDC42" w14:textId="77777777" w:rsidR="00194DF7" w:rsidRPr="00194DF7" w:rsidRDefault="00194DF7" w:rsidP="002B0FBC">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MBA25084</w:t>
            </w:r>
          </w:p>
        </w:tc>
      </w:tr>
      <w:tr w:rsidR="00194DF7" w:rsidRPr="00194DF7" w14:paraId="6E7BF5CE" w14:textId="77777777" w:rsidTr="002B0F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C5AE9" w14:textId="77777777" w:rsidR="00194DF7" w:rsidRPr="00194DF7" w:rsidRDefault="00194DF7" w:rsidP="002B0FBC">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SHASHANK KURNAL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84780" w14:textId="77777777" w:rsidR="00194DF7" w:rsidRPr="00194DF7" w:rsidRDefault="00194DF7" w:rsidP="002B0FBC">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MBA25226</w:t>
            </w:r>
          </w:p>
        </w:tc>
      </w:tr>
      <w:tr w:rsidR="00194DF7" w:rsidRPr="00194DF7" w14:paraId="5BD2BB55" w14:textId="77777777" w:rsidTr="002B0F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1C6DD" w14:textId="77777777" w:rsidR="00194DF7" w:rsidRPr="00194DF7" w:rsidRDefault="00194DF7" w:rsidP="002B0FBC">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ANISH DEY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86DCD6" w14:textId="77777777" w:rsidR="00194DF7" w:rsidRPr="00194DF7" w:rsidRDefault="00194DF7" w:rsidP="002B0FBC">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MBA25058</w:t>
            </w:r>
          </w:p>
        </w:tc>
      </w:tr>
      <w:tr w:rsidR="00194DF7" w:rsidRPr="00194DF7" w14:paraId="2A24BD12" w14:textId="77777777" w:rsidTr="002B0F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9918F" w14:textId="77777777" w:rsidR="00194DF7" w:rsidRPr="00194DF7" w:rsidRDefault="00194DF7" w:rsidP="002B0FBC">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ABHISHEK JOSHI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1E114" w14:textId="77777777" w:rsidR="00194DF7" w:rsidRPr="00194DF7" w:rsidRDefault="00194DF7" w:rsidP="002B0FBC">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MBA25051</w:t>
            </w:r>
          </w:p>
        </w:tc>
      </w:tr>
      <w:tr w:rsidR="00194DF7" w:rsidRPr="00194DF7" w14:paraId="5BB39575" w14:textId="77777777" w:rsidTr="002B0F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6184E" w14:textId="77777777" w:rsidR="00194DF7" w:rsidRPr="00194DF7" w:rsidRDefault="00194DF7" w:rsidP="002B0FBC">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SHREYA YADAV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F4E16" w14:textId="77777777" w:rsidR="00194DF7" w:rsidRPr="00194DF7" w:rsidRDefault="00194DF7" w:rsidP="002B0FBC">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MBA25090</w:t>
            </w:r>
          </w:p>
        </w:tc>
      </w:tr>
      <w:tr w:rsidR="00194DF7" w:rsidRPr="00194DF7" w14:paraId="3C359DFF" w14:textId="77777777" w:rsidTr="002B0F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97FE6" w14:textId="77777777" w:rsidR="00194DF7" w:rsidRPr="00194DF7" w:rsidRDefault="00194DF7" w:rsidP="002B0FBC">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YOGANSHI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C5E97" w14:textId="77777777" w:rsidR="00194DF7" w:rsidRPr="00194DF7" w:rsidRDefault="00194DF7" w:rsidP="002B0FBC">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MBA25096</w:t>
            </w:r>
          </w:p>
        </w:tc>
      </w:tr>
      <w:tr w:rsidR="00194DF7" w:rsidRPr="00194DF7" w14:paraId="3CBF27DA" w14:textId="77777777" w:rsidTr="002B0F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B22FD" w14:textId="77777777" w:rsidR="00194DF7" w:rsidRPr="00194DF7" w:rsidRDefault="00194DF7" w:rsidP="002B0FBC">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NAMAN SRIVASTAV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A3E92" w14:textId="77777777" w:rsidR="00194DF7" w:rsidRPr="00194DF7" w:rsidRDefault="00194DF7" w:rsidP="002B0FBC">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MBATM25014</w:t>
            </w:r>
          </w:p>
        </w:tc>
      </w:tr>
    </w:tbl>
    <w:p w14:paraId="2870C050" w14:textId="77777777" w:rsidR="002B0FBC" w:rsidRDefault="002B0FBC"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p>
    <w:p w14:paraId="0C68B49C" w14:textId="2E87BD2A" w:rsidR="00194DF7" w:rsidRPr="00194DF7" w:rsidRDefault="00194DF7"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r w:rsidRPr="00194DF7">
        <w:rPr>
          <w:rFonts w:ascii="Times New Roman" w:eastAsia="Times New Roman" w:hAnsi="Times New Roman" w:cs="Times New Roman"/>
          <w:b/>
          <w:bCs/>
          <w:color w:val="1B1C1D"/>
          <w:kern w:val="0"/>
          <w:sz w:val="27"/>
          <w:szCs w:val="27"/>
          <w:lang w:eastAsia="en-IN"/>
          <w14:ligatures w14:val="none"/>
        </w:rPr>
        <w:t>1. Executive Summary</w:t>
      </w:r>
    </w:p>
    <w:p w14:paraId="27E5730E" w14:textId="77777777" w:rsidR="00194DF7" w:rsidRPr="00194DF7" w:rsidRDefault="00194DF7" w:rsidP="00194DF7">
      <w:pPr>
        <w:spacing w:after="100" w:afterAutospacing="1"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This report analyses organizational design and strategic orientation through key frameworks from the Designing Work Organizations course, utilizing KPMG and Sabre Corporation as primary case studies.</w:t>
      </w:r>
    </w:p>
    <w:p w14:paraId="287BA446" w14:textId="77777777" w:rsidR="00194DF7" w:rsidRPr="00194DF7" w:rsidRDefault="00194DF7" w:rsidP="00194DF7">
      <w:pPr>
        <w:spacing w:after="100" w:afterAutospacing="1"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The study employs concepts such as Transaction Cost Theory, Resource Dependence Theory, Core Competency, and Differentiation–Integration frameworks to evaluate how these complex global organizations align structure with strategy.</w:t>
      </w:r>
    </w:p>
    <w:p w14:paraId="2A59D025" w14:textId="77777777" w:rsidR="00194DF7" w:rsidRPr="00194DF7" w:rsidRDefault="00194DF7" w:rsidP="00194DF7">
      <w:pPr>
        <w:spacing w:after="100" w:afterAutospacing="1"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The analysis explores two distinct business models:</w:t>
      </w:r>
    </w:p>
    <w:p w14:paraId="5292F68E" w14:textId="77777777" w:rsidR="00194DF7" w:rsidRPr="00194DF7" w:rsidRDefault="00194DF7" w:rsidP="00194DF7">
      <w:pPr>
        <w:numPr>
          <w:ilvl w:val="0"/>
          <w:numId w:val="10"/>
        </w:num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KPMG:</w:t>
      </w:r>
      <w:r w:rsidRPr="00194DF7">
        <w:rPr>
          <w:rFonts w:ascii="Times New Roman" w:eastAsia="Times New Roman" w:hAnsi="Times New Roman" w:cs="Times New Roman"/>
          <w:color w:val="1B1C1D"/>
          <w:kern w:val="0"/>
          <w:lang w:eastAsia="en-IN"/>
          <w14:ligatures w14:val="none"/>
        </w:rPr>
        <w:t xml:space="preserve"> The report examines how the firm's multi-domestic, transnational structure is designed to support its differentiation strategy, maintain global compliance, and build client trust. It also critiques the inherent governance complexities of this model and benchmarks it against rivals like Deloitte, PwC, and EY.</w:t>
      </w:r>
    </w:p>
    <w:p w14:paraId="6B097AA1" w14:textId="77777777" w:rsidR="00194DF7" w:rsidRDefault="00194DF7" w:rsidP="00194DF7">
      <w:pPr>
        <w:numPr>
          <w:ilvl w:val="0"/>
          <w:numId w:val="10"/>
        </w:num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Sabre:</w:t>
      </w:r>
      <w:r w:rsidRPr="00194DF7">
        <w:rPr>
          <w:rFonts w:ascii="Times New Roman" w:eastAsia="Times New Roman" w:hAnsi="Times New Roman" w:cs="Times New Roman"/>
          <w:color w:val="1B1C1D"/>
          <w:kern w:val="0"/>
          <w:lang w:eastAsia="en-IN"/>
          <w14:ligatures w14:val="none"/>
        </w:rPr>
        <w:t xml:space="preserve"> The study investigates the travel-technology leader's hybrid "platform-plus-product" model (GDS, Sabre Sonic PSS). It highlights how this structure, while driving differentiation, also generates significant coordination and integration challenges, particularly in response to financial leverage and rapid technological disruption.</w:t>
      </w:r>
    </w:p>
    <w:p w14:paraId="08C2BF7F" w14:textId="77777777" w:rsidR="00D959BD" w:rsidRPr="00194DF7" w:rsidRDefault="00D959BD" w:rsidP="00194DF7">
      <w:pPr>
        <w:numPr>
          <w:ilvl w:val="0"/>
          <w:numId w:val="10"/>
        </w:numPr>
        <w:spacing w:after="0" w:line="240" w:lineRule="auto"/>
        <w:rPr>
          <w:rFonts w:ascii="Times New Roman" w:eastAsia="Times New Roman" w:hAnsi="Times New Roman" w:cs="Times New Roman"/>
          <w:color w:val="1B1C1D"/>
          <w:kern w:val="0"/>
          <w:lang w:eastAsia="en-IN"/>
          <w14:ligatures w14:val="none"/>
        </w:rPr>
      </w:pPr>
    </w:p>
    <w:p w14:paraId="65B2528B" w14:textId="77777777" w:rsidR="00194DF7" w:rsidRPr="00194DF7" w:rsidRDefault="00194DF7" w:rsidP="00194DF7">
      <w:pPr>
        <w:spacing w:after="24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By evaluating both a professional services partnership (KPMG) and a high-technology platform (Sabre), this report illustrates how different organizational designs are leveraged to manage resource dependencies, global complexity, and strategic alignment.</w:t>
      </w:r>
    </w:p>
    <w:p w14:paraId="0515999B" w14:textId="77777777" w:rsidR="00194DF7" w:rsidRPr="00194DF7" w:rsidRDefault="00194DF7"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r w:rsidRPr="00194DF7">
        <w:rPr>
          <w:rFonts w:ascii="Times New Roman" w:eastAsia="Times New Roman" w:hAnsi="Times New Roman" w:cs="Times New Roman"/>
          <w:b/>
          <w:bCs/>
          <w:color w:val="1B1C1D"/>
          <w:kern w:val="0"/>
          <w:sz w:val="27"/>
          <w:szCs w:val="27"/>
          <w:lang w:eastAsia="en-IN"/>
          <w14:ligatures w14:val="none"/>
        </w:rPr>
        <w:lastRenderedPageBreak/>
        <w:t>2. Introduction</w:t>
      </w:r>
    </w:p>
    <w:p w14:paraId="28B2937F" w14:textId="77777777" w:rsidR="00194DF7" w:rsidRPr="00194DF7" w:rsidRDefault="00194DF7" w:rsidP="00194DF7">
      <w:pPr>
        <w:spacing w:after="24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KPMG is one of the world’s leading professional services organizations, offering Audit, Tax, and Advisory services across more than 140 countries. The firm operates through a network of legally independent member firms that collaborate under KPMG International Limited. This project examines KPMG’s organizational design from a theoretical lens, connecting its operational model with course concepts such as Transaction Cost Theory, Resource Dependence Theory, Differentiation–Integration, and global strategy typologies. The primary objective is to critique the effectiveness of KPMG’s “</w:t>
      </w:r>
      <w:proofErr w:type="spellStart"/>
      <w:r w:rsidRPr="00194DF7">
        <w:rPr>
          <w:rFonts w:ascii="Times New Roman" w:eastAsia="Times New Roman" w:hAnsi="Times New Roman" w:cs="Times New Roman"/>
          <w:color w:val="1B1C1D"/>
          <w:kern w:val="0"/>
          <w:lang w:eastAsia="en-IN"/>
          <w14:ligatures w14:val="none"/>
        </w:rPr>
        <w:t>glocal</w:t>
      </w:r>
      <w:proofErr w:type="spellEnd"/>
      <w:r w:rsidRPr="00194DF7">
        <w:rPr>
          <w:rFonts w:ascii="Times New Roman" w:eastAsia="Times New Roman" w:hAnsi="Times New Roman" w:cs="Times New Roman"/>
          <w:color w:val="1B1C1D"/>
          <w:kern w:val="0"/>
          <w:lang w:eastAsia="en-IN"/>
          <w14:ligatures w14:val="none"/>
        </w:rPr>
        <w:t>” model—balancing global integration with local responsiveness.</w:t>
      </w:r>
    </w:p>
    <w:p w14:paraId="65D12DDA" w14:textId="77777777" w:rsidR="00194DF7" w:rsidRPr="00194DF7" w:rsidRDefault="00194DF7"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r w:rsidRPr="00194DF7">
        <w:rPr>
          <w:rFonts w:ascii="Times New Roman" w:eastAsia="Times New Roman" w:hAnsi="Times New Roman" w:cs="Times New Roman"/>
          <w:b/>
          <w:bCs/>
          <w:color w:val="1B1C1D"/>
          <w:kern w:val="0"/>
          <w:sz w:val="27"/>
          <w:szCs w:val="27"/>
          <w:lang w:eastAsia="en-IN"/>
          <w14:ligatures w14:val="none"/>
        </w:rPr>
        <w:t>3. Theoretical Framework</w:t>
      </w:r>
    </w:p>
    <w:p w14:paraId="24D8DF4F" w14:textId="77777777" w:rsidR="00194DF7" w:rsidRPr="00194DF7" w:rsidRDefault="00194DF7" w:rsidP="00194DF7">
      <w:pPr>
        <w:spacing w:after="12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Key frameworks and concepts from the course relevant to this analysis include:</w:t>
      </w:r>
    </w:p>
    <w:p w14:paraId="2EFBAEBF" w14:textId="77777777" w:rsidR="00194DF7" w:rsidRPr="00194DF7" w:rsidRDefault="00194DF7" w:rsidP="00194DF7">
      <w:pPr>
        <w:numPr>
          <w:ilvl w:val="0"/>
          <w:numId w:val="11"/>
        </w:num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Transaction Cost Theory:</w:t>
      </w:r>
      <w:r w:rsidRPr="00194DF7">
        <w:rPr>
          <w:rFonts w:ascii="Times New Roman" w:eastAsia="Times New Roman" w:hAnsi="Times New Roman" w:cs="Times New Roman"/>
          <w:color w:val="1B1C1D"/>
          <w:kern w:val="0"/>
          <w:lang w:eastAsia="en-IN"/>
          <w14:ligatures w14:val="none"/>
        </w:rPr>
        <w:t xml:space="preserve"> Explains how organizations minimize the cost of coordination and exchange by internalizing critical activities.</w:t>
      </w:r>
    </w:p>
    <w:p w14:paraId="086B8F16" w14:textId="77777777" w:rsidR="00194DF7" w:rsidRPr="00194DF7" w:rsidRDefault="00194DF7" w:rsidP="00194DF7">
      <w:pPr>
        <w:numPr>
          <w:ilvl w:val="0"/>
          <w:numId w:val="11"/>
        </w:num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Resource Dependence Theory:</w:t>
      </w:r>
      <w:r w:rsidRPr="00194DF7">
        <w:rPr>
          <w:rFonts w:ascii="Times New Roman" w:eastAsia="Times New Roman" w:hAnsi="Times New Roman" w:cs="Times New Roman"/>
          <w:color w:val="1B1C1D"/>
          <w:kern w:val="0"/>
          <w:lang w:eastAsia="en-IN"/>
          <w14:ligatures w14:val="none"/>
        </w:rPr>
        <w:t xml:space="preserve"> Highlights how firms manage external dependencies through alliances, mergers, or network structures.</w:t>
      </w:r>
    </w:p>
    <w:p w14:paraId="215CED3A" w14:textId="77777777" w:rsidR="00194DF7" w:rsidRPr="00194DF7" w:rsidRDefault="00194DF7" w:rsidP="00194DF7">
      <w:pPr>
        <w:numPr>
          <w:ilvl w:val="0"/>
          <w:numId w:val="11"/>
        </w:num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Differentiation and Integration:</w:t>
      </w:r>
      <w:r w:rsidRPr="00194DF7">
        <w:rPr>
          <w:rFonts w:ascii="Times New Roman" w:eastAsia="Times New Roman" w:hAnsi="Times New Roman" w:cs="Times New Roman"/>
          <w:color w:val="1B1C1D"/>
          <w:kern w:val="0"/>
          <w:lang w:eastAsia="en-IN"/>
          <w14:ligatures w14:val="none"/>
        </w:rPr>
        <w:t xml:space="preserve"> Balancing specialization with coordination for effective organizational performance.</w:t>
      </w:r>
    </w:p>
    <w:p w14:paraId="05058053" w14:textId="77777777" w:rsidR="00194DF7" w:rsidRPr="00194DF7" w:rsidRDefault="00194DF7" w:rsidP="00194DF7">
      <w:pPr>
        <w:numPr>
          <w:ilvl w:val="0"/>
          <w:numId w:val="11"/>
        </w:num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Core Competency:</w:t>
      </w:r>
      <w:r w:rsidRPr="00194DF7">
        <w:rPr>
          <w:rFonts w:ascii="Times New Roman" w:eastAsia="Times New Roman" w:hAnsi="Times New Roman" w:cs="Times New Roman"/>
          <w:color w:val="1B1C1D"/>
          <w:kern w:val="0"/>
          <w:lang w:eastAsia="en-IN"/>
          <w14:ligatures w14:val="none"/>
        </w:rPr>
        <w:t xml:space="preserve"> Developing unique capabilities that offer a sustainable competitive advantage.</w:t>
      </w:r>
    </w:p>
    <w:p w14:paraId="3F1890BF" w14:textId="77777777" w:rsidR="00194DF7" w:rsidRPr="00194DF7" w:rsidRDefault="00194DF7" w:rsidP="00194DF7">
      <w:pPr>
        <w:numPr>
          <w:ilvl w:val="0"/>
          <w:numId w:val="11"/>
        </w:num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Global Strategy Typologies:</w:t>
      </w:r>
      <w:r w:rsidRPr="00194DF7">
        <w:rPr>
          <w:rFonts w:ascii="Times New Roman" w:eastAsia="Times New Roman" w:hAnsi="Times New Roman" w:cs="Times New Roman"/>
          <w:color w:val="1B1C1D"/>
          <w:kern w:val="0"/>
          <w:lang w:eastAsia="en-IN"/>
          <w14:ligatures w14:val="none"/>
        </w:rPr>
        <w:t xml:space="preserve"> Differentiates between multi-domestic, international, global, and transnational structures.</w:t>
      </w:r>
    </w:p>
    <w:p w14:paraId="2C75C9C0" w14:textId="1739B40A" w:rsidR="00194DF7" w:rsidRDefault="00194DF7" w:rsidP="00194DF7">
      <w:pPr>
        <w:numPr>
          <w:ilvl w:val="0"/>
          <w:numId w:val="11"/>
        </w:num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 xml:space="preserve">KPMG’s design exemplifies the </w:t>
      </w:r>
      <w:r w:rsidRPr="00194DF7">
        <w:rPr>
          <w:rFonts w:ascii="Times New Roman" w:eastAsia="Times New Roman" w:hAnsi="Times New Roman" w:cs="Times New Roman"/>
          <w:b/>
          <w:bCs/>
          <w:color w:val="1B1C1D"/>
          <w:kern w:val="0"/>
          <w:bdr w:val="none" w:sz="0" w:space="0" w:color="auto" w:frame="1"/>
          <w:lang w:eastAsia="en-IN"/>
          <w14:ligatures w14:val="none"/>
        </w:rPr>
        <w:t>transnational model</w:t>
      </w:r>
      <w:r w:rsidRPr="00194DF7">
        <w:rPr>
          <w:rFonts w:ascii="Times New Roman" w:eastAsia="Times New Roman" w:hAnsi="Times New Roman" w:cs="Times New Roman"/>
          <w:color w:val="1B1C1D"/>
          <w:kern w:val="0"/>
          <w:lang w:eastAsia="en-IN"/>
          <w14:ligatures w14:val="none"/>
        </w:rPr>
        <w:t>—achieving both local responsiveness and global standardization.</w:t>
      </w:r>
    </w:p>
    <w:p w14:paraId="2BE9EB43" w14:textId="77777777" w:rsidR="00D959BD" w:rsidRPr="00194DF7" w:rsidRDefault="00D959BD" w:rsidP="00D959BD">
      <w:pPr>
        <w:spacing w:after="0" w:line="240" w:lineRule="auto"/>
        <w:ind w:left="720"/>
        <w:rPr>
          <w:rFonts w:ascii="Times New Roman" w:eastAsia="Times New Roman" w:hAnsi="Times New Roman" w:cs="Times New Roman"/>
          <w:color w:val="1B1C1D"/>
          <w:kern w:val="0"/>
          <w:lang w:eastAsia="en-IN"/>
          <w14:ligatures w14:val="none"/>
        </w:rPr>
      </w:pPr>
    </w:p>
    <w:p w14:paraId="3DC9A6D6" w14:textId="77777777" w:rsidR="00194DF7" w:rsidRPr="00194DF7" w:rsidRDefault="00194DF7"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r w:rsidRPr="00194DF7">
        <w:rPr>
          <w:rFonts w:ascii="Times New Roman" w:eastAsia="Times New Roman" w:hAnsi="Times New Roman" w:cs="Times New Roman"/>
          <w:b/>
          <w:bCs/>
          <w:color w:val="1B1C1D"/>
          <w:kern w:val="0"/>
          <w:sz w:val="27"/>
          <w:szCs w:val="27"/>
          <w:lang w:eastAsia="en-IN"/>
          <w14:ligatures w14:val="none"/>
        </w:rPr>
        <w:t>4. Company Overview</w:t>
      </w:r>
    </w:p>
    <w:p w14:paraId="7C1242A5" w14:textId="77777777" w:rsidR="00194DF7" w:rsidRPr="00194DF7" w:rsidRDefault="00194DF7" w:rsidP="00194DF7">
      <w:pPr>
        <w:spacing w:after="12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KPMG operates under a federated structure of independent member firms affiliated with KPMG International. The firm’s service lines include:</w:t>
      </w:r>
    </w:p>
    <w:p w14:paraId="6393AB27" w14:textId="77777777" w:rsidR="00194DF7" w:rsidRPr="00194DF7" w:rsidRDefault="00194DF7" w:rsidP="00194DF7">
      <w:pPr>
        <w:numPr>
          <w:ilvl w:val="0"/>
          <w:numId w:val="12"/>
        </w:num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Audit:</w:t>
      </w:r>
      <w:r w:rsidRPr="00194DF7">
        <w:rPr>
          <w:rFonts w:ascii="Times New Roman" w:eastAsia="Times New Roman" w:hAnsi="Times New Roman" w:cs="Times New Roman"/>
          <w:color w:val="1B1C1D"/>
          <w:kern w:val="0"/>
          <w:lang w:eastAsia="en-IN"/>
          <w14:ligatures w14:val="none"/>
        </w:rPr>
        <w:t xml:space="preserve"> Assurance and financial statement audits</w:t>
      </w:r>
    </w:p>
    <w:p w14:paraId="3319D0B5" w14:textId="77777777" w:rsidR="00194DF7" w:rsidRPr="00194DF7" w:rsidRDefault="00194DF7" w:rsidP="00194DF7">
      <w:pPr>
        <w:numPr>
          <w:ilvl w:val="0"/>
          <w:numId w:val="12"/>
        </w:num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Tax:</w:t>
      </w:r>
      <w:r w:rsidRPr="00194DF7">
        <w:rPr>
          <w:rFonts w:ascii="Times New Roman" w:eastAsia="Times New Roman" w:hAnsi="Times New Roman" w:cs="Times New Roman"/>
          <w:color w:val="1B1C1D"/>
          <w:kern w:val="0"/>
          <w:lang w:eastAsia="en-IN"/>
          <w14:ligatures w14:val="none"/>
        </w:rPr>
        <w:t xml:space="preserve"> Corporate, indirect, and international taxation</w:t>
      </w:r>
    </w:p>
    <w:p w14:paraId="00688BEB" w14:textId="77777777" w:rsidR="00194DF7" w:rsidRPr="00194DF7" w:rsidRDefault="00194DF7" w:rsidP="00194DF7">
      <w:pPr>
        <w:numPr>
          <w:ilvl w:val="0"/>
          <w:numId w:val="12"/>
        </w:num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Advisory:</w:t>
      </w:r>
      <w:r w:rsidRPr="00194DF7">
        <w:rPr>
          <w:rFonts w:ascii="Times New Roman" w:eastAsia="Times New Roman" w:hAnsi="Times New Roman" w:cs="Times New Roman"/>
          <w:color w:val="1B1C1D"/>
          <w:kern w:val="0"/>
          <w:lang w:eastAsia="en-IN"/>
          <w14:ligatures w14:val="none"/>
        </w:rPr>
        <w:t xml:space="preserve"> Management consulting, deal advisory, and risk consulting</w:t>
      </w:r>
    </w:p>
    <w:p w14:paraId="45CC79E2" w14:textId="77777777" w:rsidR="00194DF7" w:rsidRPr="00194DF7" w:rsidRDefault="00194DF7" w:rsidP="00194DF7">
      <w:pPr>
        <w:spacing w:after="24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KPMG’s strategic vision focuses on being a trusted partner that leverages technology, governance, and deep domain expertise to deliver integrated solutions globally.</w:t>
      </w:r>
    </w:p>
    <w:p w14:paraId="3975EB0E" w14:textId="77777777" w:rsidR="00D959BD" w:rsidRDefault="00D959BD"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p>
    <w:p w14:paraId="2537C9F5" w14:textId="77777777" w:rsidR="00D959BD" w:rsidRDefault="00D959BD"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p>
    <w:p w14:paraId="3419EFAA" w14:textId="77777777" w:rsidR="00D959BD" w:rsidRDefault="00D959BD"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p>
    <w:p w14:paraId="0365F8F8" w14:textId="77777777" w:rsidR="00D959BD" w:rsidRDefault="00D959BD"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p>
    <w:p w14:paraId="5FEAA00D" w14:textId="77777777" w:rsidR="00D959BD" w:rsidRDefault="00D959BD"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p>
    <w:p w14:paraId="0CF37604" w14:textId="77777777" w:rsidR="00D959BD" w:rsidRDefault="00D959BD"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p>
    <w:p w14:paraId="5E3EDF5A" w14:textId="77777777" w:rsidR="00D959BD" w:rsidRDefault="00D959BD"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p>
    <w:p w14:paraId="29E39282" w14:textId="77777777" w:rsidR="00D959BD" w:rsidRDefault="00D959BD"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p>
    <w:p w14:paraId="15A7AF14" w14:textId="77777777" w:rsidR="00D959BD" w:rsidRDefault="00D959BD"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p>
    <w:p w14:paraId="506C9FD4" w14:textId="1A7856D3" w:rsidR="00194DF7" w:rsidRPr="00194DF7" w:rsidRDefault="00194DF7"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r w:rsidRPr="00194DF7">
        <w:rPr>
          <w:rFonts w:ascii="Times New Roman" w:eastAsia="Times New Roman" w:hAnsi="Times New Roman" w:cs="Times New Roman"/>
          <w:b/>
          <w:bCs/>
          <w:color w:val="1B1C1D"/>
          <w:kern w:val="0"/>
          <w:sz w:val="27"/>
          <w:szCs w:val="27"/>
          <w:lang w:eastAsia="en-IN"/>
          <w14:ligatures w14:val="none"/>
        </w:rPr>
        <w:t>5. Organizational Structure and Design</w:t>
      </w:r>
    </w:p>
    <w:tbl>
      <w:tblPr>
        <w:tblW w:w="0" w:type="auto"/>
        <w:tblCellSpacing w:w="15" w:type="dxa"/>
        <w:tblCellMar>
          <w:left w:w="0" w:type="dxa"/>
          <w:right w:w="0" w:type="dxa"/>
        </w:tblCellMar>
        <w:tblLook w:val="04A0" w:firstRow="1" w:lastRow="0" w:firstColumn="1" w:lastColumn="0" w:noHBand="0" w:noVBand="1"/>
      </w:tblPr>
      <w:tblGrid>
        <w:gridCol w:w="2000"/>
        <w:gridCol w:w="2624"/>
        <w:gridCol w:w="2095"/>
        <w:gridCol w:w="2449"/>
      </w:tblGrid>
      <w:tr w:rsidR="00194DF7" w:rsidRPr="00194DF7" w14:paraId="350DAA1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C703D"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Design Element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AC767"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Conceptual Link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07BFC"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Strategic Benefit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1238D"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G-Local Mechanism</w:t>
            </w:r>
          </w:p>
        </w:tc>
      </w:tr>
      <w:tr w:rsidR="00194DF7" w:rsidRPr="00194DF7" w14:paraId="2655D9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42F31"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Legal Independence of Member Firms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35307"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Resource Dependence Theory</w:t>
            </w:r>
            <w:r w:rsidRPr="00194DF7">
              <w:rPr>
                <w:rFonts w:ascii="Times New Roman" w:eastAsia="Times New Roman" w:hAnsi="Times New Roman" w:cs="Times New Roman"/>
                <w:color w:val="1B1C1D"/>
                <w:kern w:val="0"/>
                <w:lang w:eastAsia="en-IN"/>
                <w14:ligatures w14:val="none"/>
              </w:rPr>
              <w:t xml:space="preserve"> – KPMG reduces dependency on local regulators by forming autonomous entities.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5006C"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Enables compliance and trust in diverse legal regimes.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DF0A5"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Builds legitimacy while maintaining autonomy to adapt to local markets.</w:t>
            </w:r>
          </w:p>
        </w:tc>
      </w:tr>
      <w:tr w:rsidR="00194DF7" w:rsidRPr="00194DF7" w14:paraId="0D8688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EDB6F"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Centralized Global Standards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51EDE"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Integration Mechanisms</w:t>
            </w:r>
            <w:r w:rsidRPr="00194DF7">
              <w:rPr>
                <w:rFonts w:ascii="Times New Roman" w:eastAsia="Times New Roman" w:hAnsi="Times New Roman" w:cs="Times New Roman"/>
                <w:color w:val="1B1C1D"/>
                <w:kern w:val="0"/>
                <w:lang w:eastAsia="en-IN"/>
                <w14:ligatures w14:val="none"/>
              </w:rPr>
              <w:t xml:space="preserve"> – Global SOPs and control systems ensure cohesion.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E19EB"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Maintains brand consistency and audit quality worldwide.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51C2C"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"Balances “integration” with local “differentiation,” supporting a transnational model."</w:t>
            </w:r>
          </w:p>
        </w:tc>
      </w:tr>
      <w:tr w:rsidR="00194DF7" w:rsidRPr="00194DF7" w14:paraId="6ACDE2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3FDEC"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Shared Global Resources &amp; 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12F7C"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Transaction Cost Theory</w:t>
            </w:r>
            <w:r w:rsidRPr="00194DF7">
              <w:rPr>
                <w:rFonts w:ascii="Times New Roman" w:eastAsia="Times New Roman" w:hAnsi="Times New Roman" w:cs="Times New Roman"/>
                <w:color w:val="1B1C1D"/>
                <w:kern w:val="0"/>
                <w:lang w:eastAsia="en-IN"/>
                <w14:ligatures w14:val="none"/>
              </w:rPr>
              <w:t xml:space="preserve"> – Sharing proprietary tech/IP reduces development cost and coordination inefficiency.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77F7E"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Accelerates service innovation and ensures cost efficiency.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2B746"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Disseminates best practices globally while enabling local agility.</w:t>
            </w:r>
          </w:p>
        </w:tc>
      </w:tr>
      <w:tr w:rsidR="00194DF7" w:rsidRPr="00194DF7" w14:paraId="7380D5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B169E"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Local Management Autonomy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FA229"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Decentralization</w:t>
            </w:r>
            <w:r w:rsidRPr="00194DF7">
              <w:rPr>
                <w:rFonts w:ascii="Times New Roman" w:eastAsia="Times New Roman" w:hAnsi="Times New Roman" w:cs="Times New Roman"/>
                <w:color w:val="1B1C1D"/>
                <w:kern w:val="0"/>
                <w:lang w:eastAsia="en-IN"/>
                <w14:ligatures w14:val="none"/>
              </w:rPr>
              <w:t xml:space="preserve"> – empowers decision-making closer to clients (organic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CD4FE"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Increases cultural fit and responsiveness to market nuances.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3BC70"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Aligns with the multi-domestic principle of high local responsiveness.</w:t>
            </w:r>
          </w:p>
        </w:tc>
      </w:tr>
      <w:tr w:rsidR="00194DF7" w:rsidRPr="00194DF7" w14:paraId="59B77D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CB8A3"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Cross-Jurisdictional Teaming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40FEC"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Integration Mechanisms</w:t>
            </w:r>
            <w:r w:rsidRPr="00194DF7">
              <w:rPr>
                <w:rFonts w:ascii="Times New Roman" w:eastAsia="Times New Roman" w:hAnsi="Times New Roman" w:cs="Times New Roman"/>
                <w:color w:val="1B1C1D"/>
                <w:kern w:val="0"/>
                <w:lang w:eastAsia="en-IN"/>
                <w14:ligatures w14:val="none"/>
              </w:rPr>
              <w:t xml:space="preserve"> Liaison roles, cross-functional teams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387E2"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Facilitates seamless global collaboration.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0B6F3"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Enables “transnational” coordination for complex client mandates.</w:t>
            </w:r>
          </w:p>
        </w:tc>
      </w:tr>
    </w:tbl>
    <w:p w14:paraId="6F665ABD" w14:textId="77777777" w:rsidR="00194DF7" w:rsidRPr="00194DF7" w:rsidRDefault="00194DF7" w:rsidP="00194DF7">
      <w:pPr>
        <w:spacing w:after="100" w:afterAutospacing="1"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lang w:eastAsia="en-IN"/>
          <w14:ligatures w14:val="none"/>
        </w:rPr>
        <w:t>Critique</w:t>
      </w:r>
      <w:r w:rsidRPr="00194DF7">
        <w:rPr>
          <w:rFonts w:ascii="Times New Roman" w:eastAsia="Times New Roman" w:hAnsi="Times New Roman" w:cs="Times New Roman"/>
          <w:color w:val="1B1C1D"/>
          <w:kern w:val="0"/>
          <w:lang w:eastAsia="en-IN"/>
          <w14:ligatures w14:val="none"/>
        </w:rPr>
        <w:t>:</w:t>
      </w:r>
    </w:p>
    <w:p w14:paraId="700C3273" w14:textId="32392E80" w:rsidR="00D959BD" w:rsidRPr="00D959BD" w:rsidRDefault="00194DF7" w:rsidP="00D959BD">
      <w:pPr>
        <w:spacing w:after="100" w:afterAutospacing="1"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KPMG effectively balances differentiation and integration, using a hybrid transnational structure—more adaptive than a pure global model. However, the complex governance among member firms may increase transaction costs and decision latency, especially in regulatory disputes or shared-client engagements.</w:t>
      </w:r>
    </w:p>
    <w:p w14:paraId="4648A558" w14:textId="39A0FCBA" w:rsidR="00194DF7" w:rsidRPr="00194DF7" w:rsidRDefault="00194DF7"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r w:rsidRPr="00194DF7">
        <w:rPr>
          <w:rFonts w:ascii="Times New Roman" w:eastAsia="Times New Roman" w:hAnsi="Times New Roman" w:cs="Times New Roman"/>
          <w:b/>
          <w:bCs/>
          <w:color w:val="1B1C1D"/>
          <w:kern w:val="0"/>
          <w:sz w:val="27"/>
          <w:szCs w:val="27"/>
          <w:lang w:eastAsia="en-IN"/>
          <w14:ligatures w14:val="none"/>
        </w:rPr>
        <w:t>6. Strategy Alignment with Course Concepts</w:t>
      </w:r>
    </w:p>
    <w:tbl>
      <w:tblPr>
        <w:tblW w:w="0" w:type="auto"/>
        <w:tblCellSpacing w:w="15" w:type="dxa"/>
        <w:tblCellMar>
          <w:left w:w="0" w:type="dxa"/>
          <w:right w:w="0" w:type="dxa"/>
        </w:tblCellMar>
        <w:tblLook w:val="04A0" w:firstRow="1" w:lastRow="0" w:firstColumn="1" w:lastColumn="0" w:noHBand="0" w:noVBand="1"/>
      </w:tblPr>
      <w:tblGrid>
        <w:gridCol w:w="1890"/>
        <w:gridCol w:w="3322"/>
        <w:gridCol w:w="3956"/>
      </w:tblGrid>
      <w:tr w:rsidR="00194DF7" w:rsidRPr="00194DF7" w14:paraId="7568254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BF93B"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lastRenderedPageBreak/>
              <w:t>Strategic Dimension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54B96"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KPMG Approach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19CC6"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Course Concept</w:t>
            </w:r>
          </w:p>
        </w:tc>
      </w:tr>
      <w:tr w:rsidR="00194DF7" w:rsidRPr="00194DF7" w14:paraId="14E51E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A19D6"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Service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DFDE1"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Deep multidisciplinary services (Audit + Tax + Advisory).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1AA75"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Core Competency</w:t>
            </w:r>
            <w:r w:rsidRPr="00194DF7">
              <w:rPr>
                <w:rFonts w:ascii="Times New Roman" w:eastAsia="Times New Roman" w:hAnsi="Times New Roman" w:cs="Times New Roman"/>
                <w:color w:val="1B1C1D"/>
                <w:kern w:val="0"/>
                <w:lang w:eastAsia="en-IN"/>
                <w14:ligatures w14:val="none"/>
              </w:rPr>
              <w:t xml:space="preserve"> – Coordination of specialized resources to create value.</w:t>
            </w:r>
          </w:p>
        </w:tc>
      </w:tr>
      <w:tr w:rsidR="00194DF7" w:rsidRPr="00194DF7" w14:paraId="7AC9CF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11EF4"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Execution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6D45D7"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KPMG Powered Enterprise – pre-built frameworks for transformation.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D22B8"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w:t>
            </w:r>
            <w:r w:rsidRPr="00194DF7">
              <w:rPr>
                <w:rFonts w:ascii="Times New Roman" w:eastAsia="Times New Roman" w:hAnsi="Times New Roman" w:cs="Times New Roman"/>
                <w:b/>
                <w:bCs/>
                <w:color w:val="1B1C1D"/>
                <w:kern w:val="0"/>
                <w:bdr w:val="none" w:sz="0" w:space="0" w:color="auto" w:frame="1"/>
                <w:lang w:eastAsia="en-IN"/>
                <w14:ligatures w14:val="none"/>
              </w:rPr>
              <w:t>Value Creation Cycle</w:t>
            </w:r>
            <w:r w:rsidRPr="00194DF7">
              <w:rPr>
                <w:rFonts w:ascii="Times New Roman" w:eastAsia="Times New Roman" w:hAnsi="Times New Roman" w:cs="Times New Roman"/>
                <w:color w:val="1B1C1D"/>
                <w:kern w:val="0"/>
                <w:lang w:eastAsia="en-IN"/>
                <w14:ligatures w14:val="none"/>
              </w:rPr>
              <w:t xml:space="preserve"> – Enhances speed, reduces uncertainty, and differentiates through efficiency."</w:t>
            </w:r>
          </w:p>
        </w:tc>
      </w:tr>
      <w:tr w:rsidR="00194DF7" w:rsidRPr="00194DF7" w14:paraId="35D512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C6936"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Competitive Stance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D09DE"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Risk management and trust-centric positioning.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06DE6"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Functional Strategy</w:t>
            </w:r>
            <w:r w:rsidRPr="00194DF7">
              <w:rPr>
                <w:rFonts w:ascii="Times New Roman" w:eastAsia="Times New Roman" w:hAnsi="Times New Roman" w:cs="Times New Roman"/>
                <w:color w:val="1B1C1D"/>
                <w:kern w:val="0"/>
                <w:lang w:eastAsia="en-IN"/>
                <w14:ligatures w14:val="none"/>
              </w:rPr>
              <w:t xml:space="preserve"> – Differentiation via reliability and ethical compliance.</w:t>
            </w:r>
          </w:p>
        </w:tc>
      </w:tr>
      <w:tr w:rsidR="00194DF7" w:rsidRPr="00194DF7" w14:paraId="70E07F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471E5"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Talent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24118"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"Data-driven, tech-enabled professionals."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82CED"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Functional Strategy</w:t>
            </w:r>
            <w:r w:rsidRPr="00194DF7">
              <w:rPr>
                <w:rFonts w:ascii="Times New Roman" w:eastAsia="Times New Roman" w:hAnsi="Times New Roman" w:cs="Times New Roman"/>
                <w:color w:val="1B1C1D"/>
                <w:kern w:val="0"/>
                <w:lang w:eastAsia="en-IN"/>
                <w14:ligatures w14:val="none"/>
              </w:rPr>
              <w:t xml:space="preserve"> – Capability development as a source of sustainable advantage.</w:t>
            </w:r>
          </w:p>
        </w:tc>
      </w:tr>
      <w:tr w:rsidR="00194DF7" w:rsidRPr="00194DF7" w14:paraId="45685E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B5C29"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Market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B7AEB"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Global consistency + local customization.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7641C"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Global Strategy Typology</w:t>
            </w:r>
            <w:r w:rsidRPr="00194DF7">
              <w:rPr>
                <w:rFonts w:ascii="Times New Roman" w:eastAsia="Times New Roman" w:hAnsi="Times New Roman" w:cs="Times New Roman"/>
                <w:color w:val="1B1C1D"/>
                <w:kern w:val="0"/>
                <w:lang w:eastAsia="en-IN"/>
                <w14:ligatures w14:val="none"/>
              </w:rPr>
              <w:t xml:space="preserve"> – Transnational structure integrating responsiveness with global efficiency.</w:t>
            </w:r>
          </w:p>
        </w:tc>
      </w:tr>
    </w:tbl>
    <w:p w14:paraId="500746F6" w14:textId="77777777" w:rsidR="00194DF7" w:rsidRPr="00194DF7" w:rsidRDefault="00194DF7"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r w:rsidRPr="00194DF7">
        <w:rPr>
          <w:rFonts w:ascii="Times New Roman" w:eastAsia="Times New Roman" w:hAnsi="Times New Roman" w:cs="Times New Roman"/>
          <w:b/>
          <w:bCs/>
          <w:color w:val="1B1C1D"/>
          <w:kern w:val="0"/>
          <w:sz w:val="27"/>
          <w:szCs w:val="27"/>
          <w:lang w:eastAsia="en-IN"/>
          <w14:ligatures w14:val="none"/>
        </w:rPr>
        <w:t>7. Strategic Evaluation Based on Theories</w:t>
      </w:r>
    </w:p>
    <w:tbl>
      <w:tblPr>
        <w:tblW w:w="0" w:type="auto"/>
        <w:tblCellSpacing w:w="15" w:type="dxa"/>
        <w:tblCellMar>
          <w:left w:w="0" w:type="dxa"/>
          <w:right w:w="0" w:type="dxa"/>
        </w:tblCellMar>
        <w:tblLook w:val="04A0" w:firstRow="1" w:lastRow="0" w:firstColumn="1" w:lastColumn="0" w:noHBand="0" w:noVBand="1"/>
      </w:tblPr>
      <w:tblGrid>
        <w:gridCol w:w="2270"/>
        <w:gridCol w:w="2271"/>
        <w:gridCol w:w="1886"/>
        <w:gridCol w:w="2741"/>
      </w:tblGrid>
      <w:tr w:rsidR="00194DF7" w:rsidRPr="00194DF7" w14:paraId="5A3515E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A1E17"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Theoretical Lens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12036"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Application to KPMG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D98E0"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Strengths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E9A5F"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Limitations / Risks</w:t>
            </w:r>
          </w:p>
        </w:tc>
      </w:tr>
      <w:tr w:rsidR="00194DF7" w:rsidRPr="00194DF7" w14:paraId="0A1016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67EF6"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Transaction Cost Theory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16BBF"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Internal IP-sharing and alliances lower coordination cost across markets.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F6A0E"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Efficient scale-up and uniform technology stack.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49BF6"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Complexity in inter-member contracting and compliance may raise hidden transaction costs.</w:t>
            </w:r>
          </w:p>
        </w:tc>
      </w:tr>
      <w:tr w:rsidR="00194DF7" w:rsidRPr="00194DF7" w14:paraId="3CAFEB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7D511"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Resource Dependence Theory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5C5BE"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"Alliances, networks, and minority ownerships (as seen in joint client delivery)."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FD852"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Builds resilience to resource constraints.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ABAE0"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Overdependence on global frameworks may limit local innovation.</w:t>
            </w:r>
          </w:p>
        </w:tc>
      </w:tr>
      <w:tr w:rsidR="00194DF7" w:rsidRPr="00194DF7" w14:paraId="7CC10B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017B1"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Differentiation–Integration Balance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9B24D"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Seamless cross-border service delivery and autonomy at local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9F503"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Achieves “</w:t>
            </w:r>
            <w:proofErr w:type="spellStart"/>
            <w:r w:rsidRPr="00194DF7">
              <w:rPr>
                <w:rFonts w:ascii="Times New Roman" w:eastAsia="Times New Roman" w:hAnsi="Times New Roman" w:cs="Times New Roman"/>
                <w:color w:val="1B1C1D"/>
                <w:kern w:val="0"/>
                <w:lang w:eastAsia="en-IN"/>
                <w14:ligatures w14:val="none"/>
              </w:rPr>
              <w:t>glocal</w:t>
            </w:r>
            <w:proofErr w:type="spellEnd"/>
            <w:r w:rsidRPr="00194DF7">
              <w:rPr>
                <w:rFonts w:ascii="Times New Roman" w:eastAsia="Times New Roman" w:hAnsi="Times New Roman" w:cs="Times New Roman"/>
                <w:color w:val="1B1C1D"/>
                <w:kern w:val="0"/>
                <w:lang w:eastAsia="en-IN"/>
                <w14:ligatures w14:val="none"/>
              </w:rPr>
              <w:t>” synergy.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9410B"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Conflicts in standardization vs. local flexibility.</w:t>
            </w:r>
          </w:p>
        </w:tc>
      </w:tr>
      <w:tr w:rsidR="00194DF7" w:rsidRPr="00194DF7" w14:paraId="3AFE3A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E4D8D"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lastRenderedPageBreak/>
              <w:t>Core Competency Framework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1CE73"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Combines risk management with AI-driven analytics.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9DC67"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Hard-to-imitate hybrid of trust and technology.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95853"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"Rivals (e.g., Deloitte, EY) adopting similar models may erode distinctiveness."</w:t>
            </w:r>
          </w:p>
        </w:tc>
      </w:tr>
    </w:tbl>
    <w:p w14:paraId="460B8C65" w14:textId="77777777" w:rsidR="00194DF7" w:rsidRPr="00194DF7" w:rsidRDefault="00194DF7"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r w:rsidRPr="00194DF7">
        <w:rPr>
          <w:rFonts w:ascii="Times New Roman" w:eastAsia="Times New Roman" w:hAnsi="Times New Roman" w:cs="Times New Roman"/>
          <w:b/>
          <w:bCs/>
          <w:color w:val="1B1C1D"/>
          <w:kern w:val="0"/>
          <w:sz w:val="27"/>
          <w:szCs w:val="27"/>
          <w:lang w:eastAsia="en-IN"/>
          <w14:ligatures w14:val="none"/>
        </w:rPr>
        <w:t>8. Change and Adaptation Perspective</w:t>
      </w:r>
    </w:p>
    <w:tbl>
      <w:tblPr>
        <w:tblW w:w="0" w:type="auto"/>
        <w:tblCellSpacing w:w="15" w:type="dxa"/>
        <w:tblCellMar>
          <w:left w:w="0" w:type="dxa"/>
          <w:right w:w="0" w:type="dxa"/>
        </w:tblCellMar>
        <w:tblLook w:val="04A0" w:firstRow="1" w:lastRow="0" w:firstColumn="1" w:lastColumn="0" w:noHBand="0" w:noVBand="1"/>
      </w:tblPr>
      <w:tblGrid>
        <w:gridCol w:w="1973"/>
        <w:gridCol w:w="4134"/>
        <w:gridCol w:w="3061"/>
      </w:tblGrid>
      <w:tr w:rsidR="00194DF7" w:rsidRPr="00194DF7" w14:paraId="224E66E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5DEAD"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Approach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C607A"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How KPMG Applies 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DE2B0"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Evaluation</w:t>
            </w:r>
          </w:p>
        </w:tc>
      </w:tr>
      <w:tr w:rsidR="00194DF7" w:rsidRPr="00194DF7" w14:paraId="4B2AEC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DCA23"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Self-Assembly 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078FB"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"Local firms adapt tools (e.g., Powered Enterprise software) to their market."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E0DF9"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Promotes ownership and innovation.</w:t>
            </w:r>
          </w:p>
        </w:tc>
      </w:tr>
      <w:tr w:rsidR="00194DF7" w:rsidRPr="00194DF7" w14:paraId="2BD49C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5FC1E"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Masterful 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5D3E0"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Global leadership dictates large-scale technology rollouts.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E356E"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Ensures coherence but risks local pushback.</w:t>
            </w:r>
          </w:p>
        </w:tc>
      </w:tr>
      <w:tr w:rsidR="00194DF7" w:rsidRPr="00194DF7" w14:paraId="0934E3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5BD8B"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Emergent 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537DE"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Encourages bottom-up development of niche digital services.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D063B" w14:textId="77777777" w:rsidR="00194DF7" w:rsidRPr="00194DF7" w:rsidRDefault="00194DF7" w:rsidP="00D959BD">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"Aligns with adaptive, open-system philosophy."</w:t>
            </w:r>
          </w:p>
        </w:tc>
      </w:tr>
    </w:tbl>
    <w:p w14:paraId="2C7357DD" w14:textId="77777777" w:rsidR="00D959BD" w:rsidRDefault="00D959BD"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p>
    <w:p w14:paraId="4D018B1E" w14:textId="1274F8A4" w:rsidR="00194DF7" w:rsidRPr="00194DF7" w:rsidRDefault="00194DF7"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r w:rsidRPr="00194DF7">
        <w:rPr>
          <w:rFonts w:ascii="Times New Roman" w:eastAsia="Times New Roman" w:hAnsi="Times New Roman" w:cs="Times New Roman"/>
          <w:b/>
          <w:bCs/>
          <w:color w:val="1B1C1D"/>
          <w:kern w:val="0"/>
          <w:sz w:val="27"/>
          <w:szCs w:val="27"/>
          <w:lang w:eastAsia="en-IN"/>
          <w14:ligatures w14:val="none"/>
        </w:rPr>
        <w:t>8.A. Analysis of Additional Organizational Concepts (KPMG)</w:t>
      </w:r>
    </w:p>
    <w:p w14:paraId="4F42DEEE" w14:textId="77777777" w:rsidR="00194DF7" w:rsidRPr="00194DF7" w:rsidRDefault="00194DF7" w:rsidP="00194DF7">
      <w:pPr>
        <w:numPr>
          <w:ilvl w:val="0"/>
          <w:numId w:val="13"/>
        </w:num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Greiner Growth Model / Life Cycle Model:</w:t>
      </w:r>
      <w:r w:rsidRPr="00194DF7">
        <w:rPr>
          <w:rFonts w:ascii="Times New Roman" w:eastAsia="Times New Roman" w:hAnsi="Times New Roman" w:cs="Times New Roman"/>
          <w:color w:val="1B1C1D"/>
          <w:kern w:val="0"/>
          <w:lang w:eastAsia="en-IN"/>
          <w14:ligatures w14:val="none"/>
        </w:rPr>
        <w:t xml:space="preserve"> The firm's federated structure suggests it is in a mature stage. It exhibits characteristics of Stage 4 (Growth through Coordination), using "Centralized Global Standards" and "Integration Mechanisms", and Stage 5 (Growth through Collaboration), with "Cross-Jurisdictional Teaming". The critique of "complex governance" and the recommendation to "Simplify inter-member governance" align with overcoming a "crisis of red tape."</w:t>
      </w:r>
    </w:p>
    <w:p w14:paraId="536F32EA" w14:textId="77777777" w:rsidR="00194DF7" w:rsidRPr="00194DF7" w:rsidRDefault="00194DF7" w:rsidP="00194DF7">
      <w:pPr>
        <w:numPr>
          <w:ilvl w:val="0"/>
          <w:numId w:val="13"/>
        </w:num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SOP (Standard Operating Procedures):</w:t>
      </w:r>
      <w:r w:rsidRPr="00194DF7">
        <w:rPr>
          <w:rFonts w:ascii="Times New Roman" w:eastAsia="Times New Roman" w:hAnsi="Times New Roman" w:cs="Times New Roman"/>
          <w:color w:val="1B1C1D"/>
          <w:kern w:val="0"/>
          <w:lang w:eastAsia="en-IN"/>
          <w14:ligatures w14:val="none"/>
        </w:rPr>
        <w:t xml:space="preserve"> SOPs are a key integration mechanism. The report identifies "Global SOPs and control systems" as essential to "ensure cohesion" and maintain "brand consistency and audit quality worldwide".</w:t>
      </w:r>
    </w:p>
    <w:p w14:paraId="6C012EC5" w14:textId="77777777" w:rsidR="00194DF7" w:rsidRPr="00194DF7" w:rsidRDefault="00194DF7" w:rsidP="00194DF7">
      <w:pPr>
        <w:numPr>
          <w:ilvl w:val="0"/>
          <w:numId w:val="13"/>
        </w:num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Decentralisation:</w:t>
      </w:r>
      <w:r w:rsidRPr="00194DF7">
        <w:rPr>
          <w:rFonts w:ascii="Times New Roman" w:eastAsia="Times New Roman" w:hAnsi="Times New Roman" w:cs="Times New Roman"/>
          <w:color w:val="1B1C1D"/>
          <w:kern w:val="0"/>
          <w:lang w:eastAsia="en-IN"/>
          <w14:ligatures w14:val="none"/>
        </w:rPr>
        <w:t xml:space="preserve"> This is a core design feature. The structure is a "federated structure of independent member firms" and explicitly links "Local Management Autonomy" to "Decentralization", which "empowers decision-making closer to clients".</w:t>
      </w:r>
    </w:p>
    <w:p w14:paraId="046C2DC3" w14:textId="77777777" w:rsidR="00194DF7" w:rsidRPr="00194DF7" w:rsidRDefault="00194DF7" w:rsidP="00194DF7">
      <w:pPr>
        <w:numPr>
          <w:ilvl w:val="0"/>
          <w:numId w:val="13"/>
        </w:num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Bureaucracy &amp; Machine:</w:t>
      </w:r>
      <w:r w:rsidRPr="00194DF7">
        <w:rPr>
          <w:rFonts w:ascii="Times New Roman" w:eastAsia="Times New Roman" w:hAnsi="Times New Roman" w:cs="Times New Roman"/>
          <w:color w:val="1B1C1D"/>
          <w:kern w:val="0"/>
          <w:lang w:eastAsia="en-IN"/>
          <w14:ligatures w14:val="none"/>
        </w:rPr>
        <w:t xml:space="preserve"> While not a pure "Machine Bureaucracy" due to its organic and decentralized elements, KPMG uses strong bureaucratic mechanisms for control. It relies on "Centralized Global Standards" and "Global SOPs" for consistency, and the noted "complex governance" is a common feature of large, complex bureaucracies.</w:t>
      </w:r>
    </w:p>
    <w:p w14:paraId="25D3E1D0" w14:textId="77777777" w:rsidR="00675501" w:rsidRDefault="00675501"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p>
    <w:p w14:paraId="45243E6C" w14:textId="59B23CD0" w:rsidR="00194DF7" w:rsidRPr="00194DF7" w:rsidRDefault="00194DF7"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r w:rsidRPr="00194DF7">
        <w:rPr>
          <w:rFonts w:ascii="Times New Roman" w:eastAsia="Times New Roman" w:hAnsi="Times New Roman" w:cs="Times New Roman"/>
          <w:b/>
          <w:bCs/>
          <w:color w:val="1B1C1D"/>
          <w:kern w:val="0"/>
          <w:sz w:val="27"/>
          <w:szCs w:val="27"/>
          <w:lang w:eastAsia="en-IN"/>
          <w14:ligatures w14:val="none"/>
        </w:rPr>
        <w:t>9. Key Findings and Recommendations</w:t>
      </w:r>
    </w:p>
    <w:p w14:paraId="1A7B9200" w14:textId="77777777" w:rsidR="00194DF7" w:rsidRPr="00194DF7" w:rsidRDefault="00194DF7" w:rsidP="00194DF7">
      <w:p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Findings:</w:t>
      </w:r>
    </w:p>
    <w:p w14:paraId="119CB889" w14:textId="77777777" w:rsidR="00194DF7" w:rsidRPr="00194DF7" w:rsidRDefault="00194DF7" w:rsidP="00194DF7">
      <w:pPr>
        <w:numPr>
          <w:ilvl w:val="0"/>
          <w:numId w:val="14"/>
        </w:numPr>
        <w:spacing w:after="12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KPMG’s transnational design effectively blends global efficiency with local relevance.</w:t>
      </w:r>
    </w:p>
    <w:p w14:paraId="44600B87" w14:textId="77777777" w:rsidR="00194DF7" w:rsidRPr="00194DF7" w:rsidRDefault="00194DF7" w:rsidP="00194DF7">
      <w:pPr>
        <w:numPr>
          <w:ilvl w:val="0"/>
          <w:numId w:val="14"/>
        </w:numPr>
        <w:spacing w:after="12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Integration of Audit, Tax, and Advisory functions enhances holistic client solutions.</w:t>
      </w:r>
    </w:p>
    <w:p w14:paraId="33A716E1" w14:textId="77777777" w:rsidR="00194DF7" w:rsidRPr="00194DF7" w:rsidRDefault="00194DF7" w:rsidP="00194DF7">
      <w:pPr>
        <w:numPr>
          <w:ilvl w:val="0"/>
          <w:numId w:val="14"/>
        </w:numPr>
        <w:spacing w:after="12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lastRenderedPageBreak/>
        <w:t>Technology and data analytics are core differentiators.</w:t>
      </w:r>
    </w:p>
    <w:p w14:paraId="2C25919A" w14:textId="77777777" w:rsidR="00194DF7" w:rsidRPr="00194DF7" w:rsidRDefault="00194DF7" w:rsidP="00194DF7">
      <w:pPr>
        <w:numPr>
          <w:ilvl w:val="0"/>
          <w:numId w:val="14"/>
        </w:numPr>
        <w:spacing w:after="12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Federated governance offers flexibility but adds complexity.</w:t>
      </w:r>
    </w:p>
    <w:p w14:paraId="384F8EF2" w14:textId="77777777" w:rsidR="00194DF7" w:rsidRPr="00194DF7" w:rsidRDefault="00194DF7" w:rsidP="00194DF7">
      <w:p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Recommendations:</w:t>
      </w:r>
    </w:p>
    <w:p w14:paraId="5F2BB720" w14:textId="77777777" w:rsidR="00194DF7" w:rsidRPr="00194DF7" w:rsidRDefault="00194DF7" w:rsidP="00194DF7">
      <w:pPr>
        <w:numPr>
          <w:ilvl w:val="0"/>
          <w:numId w:val="15"/>
        </w:numPr>
        <w:spacing w:after="12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Simplify inter-member governance to reduce coordination costs.</w:t>
      </w:r>
    </w:p>
    <w:p w14:paraId="2B1D1EF8" w14:textId="77777777" w:rsidR="00194DF7" w:rsidRPr="00194DF7" w:rsidRDefault="00194DF7" w:rsidP="00194DF7">
      <w:pPr>
        <w:numPr>
          <w:ilvl w:val="0"/>
          <w:numId w:val="15"/>
        </w:numPr>
        <w:spacing w:after="12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Strengthen local innovation autonomy to avoid over-reliance on global frameworks.</w:t>
      </w:r>
    </w:p>
    <w:p w14:paraId="1739C97E" w14:textId="77777777" w:rsidR="00194DF7" w:rsidRPr="00194DF7" w:rsidRDefault="00194DF7" w:rsidP="00194DF7">
      <w:pPr>
        <w:numPr>
          <w:ilvl w:val="0"/>
          <w:numId w:val="15"/>
        </w:numPr>
        <w:spacing w:after="12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Invest further in emergent change models to foster adaptive learning.</w:t>
      </w:r>
    </w:p>
    <w:p w14:paraId="1EF39F7F" w14:textId="77777777" w:rsidR="00194DF7" w:rsidRPr="00194DF7" w:rsidRDefault="00194DF7" w:rsidP="00194DF7">
      <w:pPr>
        <w:numPr>
          <w:ilvl w:val="0"/>
          <w:numId w:val="15"/>
        </w:numPr>
        <w:spacing w:after="12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Enhance transparency across member firms to improve agility and collaboration.</w:t>
      </w:r>
    </w:p>
    <w:p w14:paraId="29CC2CD2" w14:textId="77777777" w:rsidR="00194DF7" w:rsidRDefault="00194DF7"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p>
    <w:p w14:paraId="033A91E0" w14:textId="45A0182C" w:rsidR="00194DF7" w:rsidRPr="00194DF7" w:rsidRDefault="00194DF7"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r w:rsidRPr="00194DF7">
        <w:rPr>
          <w:rFonts w:ascii="Times New Roman" w:eastAsia="Times New Roman" w:hAnsi="Times New Roman" w:cs="Times New Roman"/>
          <w:b/>
          <w:bCs/>
          <w:color w:val="1B1C1D"/>
          <w:kern w:val="0"/>
          <w:sz w:val="27"/>
          <w:szCs w:val="27"/>
          <w:lang w:eastAsia="en-IN"/>
          <w14:ligatures w14:val="none"/>
        </w:rPr>
        <w:t>10. Executive Summary</w:t>
      </w:r>
    </w:p>
    <w:p w14:paraId="78FADD78" w14:textId="77777777" w:rsidR="00194DF7" w:rsidRPr="00194DF7" w:rsidRDefault="00194DF7" w:rsidP="00194DF7">
      <w:pPr>
        <w:spacing w:after="24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 xml:space="preserve">This report analyses Sabre Corporation’s organizational design and strategic orientation through frameworks and theories covered in the Designing Work Organizations course. Sabre—a global leader in travel-technology platforms—operates large-scale systems such as its Global Distribution System (GDS), </w:t>
      </w:r>
      <w:proofErr w:type="spellStart"/>
      <w:r w:rsidRPr="00194DF7">
        <w:rPr>
          <w:rFonts w:ascii="Times New Roman" w:eastAsia="Times New Roman" w:hAnsi="Times New Roman" w:cs="Times New Roman"/>
          <w:color w:val="1B1C1D"/>
          <w:kern w:val="0"/>
          <w:lang w:eastAsia="en-IN"/>
          <w14:ligatures w14:val="none"/>
        </w:rPr>
        <w:t>SabreSonic</w:t>
      </w:r>
      <w:proofErr w:type="spellEnd"/>
      <w:r w:rsidRPr="00194DF7">
        <w:rPr>
          <w:rFonts w:ascii="Times New Roman" w:eastAsia="Times New Roman" w:hAnsi="Times New Roman" w:cs="Times New Roman"/>
          <w:color w:val="1B1C1D"/>
          <w:kern w:val="0"/>
          <w:lang w:eastAsia="en-IN"/>
          <w14:ligatures w14:val="none"/>
        </w:rPr>
        <w:t xml:space="preserve"> PSS, and SynXis CRS. Using frameworks such as Transaction Cost Theory, Resource Dependence Theory, Differentiation–Integration, Core Competency, and global strategy typologies, this study evaluates how Sabre aligns structure with strategy while responding to financial and technological disruption. The critique highlights that Sabre’s hybrid “platform-plus-product” model drives differentiation but also generates coordination and integration challenges under high leverage and global complexity.</w:t>
      </w:r>
    </w:p>
    <w:p w14:paraId="4B0F2D0C" w14:textId="77777777" w:rsidR="00194DF7" w:rsidRPr="00194DF7" w:rsidRDefault="00194DF7"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r w:rsidRPr="00194DF7">
        <w:rPr>
          <w:rFonts w:ascii="Times New Roman" w:eastAsia="Times New Roman" w:hAnsi="Times New Roman" w:cs="Times New Roman"/>
          <w:b/>
          <w:bCs/>
          <w:color w:val="1B1C1D"/>
          <w:kern w:val="0"/>
          <w:sz w:val="27"/>
          <w:szCs w:val="27"/>
          <w:lang w:eastAsia="en-IN"/>
          <w14:ligatures w14:val="none"/>
        </w:rPr>
        <w:t>11. Introduction</w:t>
      </w:r>
    </w:p>
    <w:p w14:paraId="203FF7DC" w14:textId="77777777" w:rsidR="00194DF7" w:rsidRPr="00194DF7" w:rsidRDefault="00194DF7" w:rsidP="00194DF7">
      <w:pPr>
        <w:spacing w:after="24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Sabre Corporation is a leading travel-technology and software provider headquartered in Southlake, Texas, serving airlines, hotels, and travel agencies across 160+ countries. It originated as American Airlines’ reservation system and evolved into a B2B platform enabling global travel commerce. This project examines Sabre’s organizational design through the lens of course frameworks—particularly Transaction Cost Theory, Resource Dependence, Differentiation–Integration, and transnational strategy typologies —to assess whether Sabre’s current design supports its strategic intent of enabling “connected, intelligent travel.”</w:t>
      </w:r>
    </w:p>
    <w:p w14:paraId="511465DF" w14:textId="77777777" w:rsidR="00194DF7" w:rsidRPr="00194DF7" w:rsidRDefault="00194DF7"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r w:rsidRPr="00194DF7">
        <w:rPr>
          <w:rFonts w:ascii="Times New Roman" w:eastAsia="Times New Roman" w:hAnsi="Times New Roman" w:cs="Times New Roman"/>
          <w:b/>
          <w:bCs/>
          <w:color w:val="1B1C1D"/>
          <w:kern w:val="0"/>
          <w:sz w:val="27"/>
          <w:szCs w:val="27"/>
          <w:lang w:eastAsia="en-IN"/>
          <w14:ligatures w14:val="none"/>
        </w:rPr>
        <w:t>12. Theoretical Framework</w:t>
      </w:r>
    </w:p>
    <w:tbl>
      <w:tblPr>
        <w:tblW w:w="0" w:type="auto"/>
        <w:tblCellSpacing w:w="15" w:type="dxa"/>
        <w:tblCellMar>
          <w:left w:w="0" w:type="dxa"/>
          <w:right w:w="0" w:type="dxa"/>
        </w:tblCellMar>
        <w:tblLook w:val="04A0" w:firstRow="1" w:lastRow="0" w:firstColumn="1" w:lastColumn="0" w:noHBand="0" w:noVBand="1"/>
      </w:tblPr>
      <w:tblGrid>
        <w:gridCol w:w="2505"/>
        <w:gridCol w:w="3022"/>
        <w:gridCol w:w="3641"/>
      </w:tblGrid>
      <w:tr w:rsidR="00194DF7" w:rsidRPr="00194DF7" w14:paraId="68890E7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509A2" w14:textId="77777777" w:rsidR="00194DF7" w:rsidRPr="00194DF7" w:rsidRDefault="00194DF7" w:rsidP="00194DF7">
            <w:p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Framework / Theory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F5BB9" w14:textId="77777777" w:rsidR="00194DF7" w:rsidRPr="00194DF7" w:rsidRDefault="00194DF7" w:rsidP="00194DF7">
            <w:p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Concept Overview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EBA2C" w14:textId="77777777" w:rsidR="00194DF7" w:rsidRPr="00194DF7" w:rsidRDefault="00194DF7" w:rsidP="00194DF7">
            <w:p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Relevance to Sabre</w:t>
            </w:r>
          </w:p>
        </w:tc>
      </w:tr>
      <w:tr w:rsidR="00194DF7" w:rsidRPr="00194DF7" w14:paraId="751E19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CB508"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Transaction Cost Theory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9F0E3"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Organizations internalize activities to minimize coordination and uncertainty costs.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B0D68"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Explains Sabre’s choice to retain control of core GDS and PSS platforms while outsourcing peripheral tech functions.</w:t>
            </w:r>
          </w:p>
        </w:tc>
      </w:tr>
      <w:tr w:rsidR="00194DF7" w:rsidRPr="00194DF7" w14:paraId="65A8C2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7676E"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Resource Dependence Theory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7B0C3"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Firms manage external dependencies through alliances or diversification.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525D3"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"Sabre forms partnerships with airlines, OTAs, and cloud providers to manage dependence on distribution channels."</w:t>
            </w:r>
          </w:p>
        </w:tc>
      </w:tr>
      <w:tr w:rsidR="00194DF7" w:rsidRPr="00194DF7" w14:paraId="42B3CB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01C37"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lastRenderedPageBreak/>
              <w:t>Differentiation–Integration Framework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72818"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Balances specialization with coordination across units.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A10CF"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Sabre’s dual focus on platform reliability and product innovation requires tight integration mechanisms.</w:t>
            </w:r>
          </w:p>
        </w:tc>
      </w:tr>
      <w:tr w:rsidR="00194DF7" w:rsidRPr="00194DF7" w14:paraId="72EF8E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7B3AF"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Core Competency Framework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4E49E"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Sustainable advantage arises from unique capabilities and knowledge bases.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3430A"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"Proprietary algorithms, data architecture, and customer relationships form Sabre’s enduring competencies."</w:t>
            </w:r>
          </w:p>
        </w:tc>
      </w:tr>
      <w:tr w:rsidR="00194DF7" w:rsidRPr="00194DF7" w14:paraId="323781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E9E15"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Global Strategy Typologies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37A72"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"Distinguishes global, multi-domestic, international, and transnational models."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D5A22"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Sabre’s structure reflects a transnational model—global technology standards with regionally adapted solutions.</w:t>
            </w:r>
          </w:p>
        </w:tc>
      </w:tr>
    </w:tbl>
    <w:p w14:paraId="166A199D" w14:textId="77777777" w:rsidR="00194DF7" w:rsidRPr="00194DF7" w:rsidRDefault="00194DF7"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r w:rsidRPr="00194DF7">
        <w:rPr>
          <w:rFonts w:ascii="Times New Roman" w:eastAsia="Times New Roman" w:hAnsi="Times New Roman" w:cs="Times New Roman"/>
          <w:b/>
          <w:bCs/>
          <w:color w:val="1B1C1D"/>
          <w:kern w:val="0"/>
          <w:sz w:val="27"/>
          <w:szCs w:val="27"/>
          <w:lang w:eastAsia="en-IN"/>
          <w14:ligatures w14:val="none"/>
        </w:rPr>
        <w:t>13. Company Overview</w:t>
      </w:r>
    </w:p>
    <w:p w14:paraId="7F654D2F" w14:textId="77777777" w:rsidR="00194DF7" w:rsidRPr="00194DF7" w:rsidRDefault="00194DF7" w:rsidP="00194DF7">
      <w:pPr>
        <w:spacing w:after="12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Sabre Corporation delivers software and data-driven solutions across three major segments:</w:t>
      </w:r>
    </w:p>
    <w:p w14:paraId="6C4F0A45" w14:textId="77777777" w:rsidR="00194DF7" w:rsidRPr="00194DF7" w:rsidRDefault="00194DF7" w:rsidP="00194DF7">
      <w:pPr>
        <w:numPr>
          <w:ilvl w:val="0"/>
          <w:numId w:val="16"/>
        </w:num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Travel Solutions (GDS + Airline IT):</w:t>
      </w:r>
      <w:r w:rsidRPr="00194DF7">
        <w:rPr>
          <w:rFonts w:ascii="Times New Roman" w:eastAsia="Times New Roman" w:hAnsi="Times New Roman" w:cs="Times New Roman"/>
          <w:color w:val="1B1C1D"/>
          <w:kern w:val="0"/>
          <w:lang w:eastAsia="en-IN"/>
          <w14:ligatures w14:val="none"/>
        </w:rPr>
        <w:t xml:space="preserve"> airline reservations, retailing, and NDC-based distribution.</w:t>
      </w:r>
    </w:p>
    <w:p w14:paraId="2F49DF32" w14:textId="77777777" w:rsidR="00194DF7" w:rsidRPr="00194DF7" w:rsidRDefault="00194DF7" w:rsidP="00194DF7">
      <w:pPr>
        <w:numPr>
          <w:ilvl w:val="0"/>
          <w:numId w:val="16"/>
        </w:num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Hospitality Solutions (SynXis):</w:t>
      </w:r>
      <w:r w:rsidRPr="00194DF7">
        <w:rPr>
          <w:rFonts w:ascii="Times New Roman" w:eastAsia="Times New Roman" w:hAnsi="Times New Roman" w:cs="Times New Roman"/>
          <w:color w:val="1B1C1D"/>
          <w:kern w:val="0"/>
          <w:lang w:eastAsia="en-IN"/>
          <w14:ligatures w14:val="none"/>
        </w:rPr>
        <w:t xml:space="preserve"> cloud-based CRS, PMS, and analytics for hotels.</w:t>
      </w:r>
    </w:p>
    <w:p w14:paraId="40044AD2" w14:textId="77777777" w:rsidR="00194DF7" w:rsidRPr="00194DF7" w:rsidRDefault="00194DF7" w:rsidP="00194DF7">
      <w:pPr>
        <w:numPr>
          <w:ilvl w:val="0"/>
          <w:numId w:val="16"/>
        </w:num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Technology Infrastructure:</w:t>
      </w:r>
      <w:r w:rsidRPr="00194DF7">
        <w:rPr>
          <w:rFonts w:ascii="Times New Roman" w:eastAsia="Times New Roman" w:hAnsi="Times New Roman" w:cs="Times New Roman"/>
          <w:color w:val="1B1C1D"/>
          <w:kern w:val="0"/>
          <w:lang w:eastAsia="en-IN"/>
          <w14:ligatures w14:val="none"/>
        </w:rPr>
        <w:t xml:space="preserve"> hosting and data platforms (AWS migration).</w:t>
      </w:r>
    </w:p>
    <w:p w14:paraId="7FB722F7" w14:textId="77777777" w:rsidR="00194DF7" w:rsidRPr="00194DF7" w:rsidRDefault="00194DF7" w:rsidP="00194DF7">
      <w:pPr>
        <w:spacing w:after="24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Sabre’s mission is “to connect people with the world’s travel possibilities” by offering integrated systems that link airlines, agencies, and hospitality partners. Recent restructuring and a potential divestiture of SynXis highlight Sabre’s attempt to refocus on core competencies and deleverage amid industry transformation.</w:t>
      </w:r>
    </w:p>
    <w:p w14:paraId="2FC56547" w14:textId="77777777" w:rsidR="00194DF7" w:rsidRPr="00194DF7" w:rsidRDefault="00194DF7"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r w:rsidRPr="00194DF7">
        <w:rPr>
          <w:rFonts w:ascii="Times New Roman" w:eastAsia="Times New Roman" w:hAnsi="Times New Roman" w:cs="Times New Roman"/>
          <w:b/>
          <w:bCs/>
          <w:color w:val="1B1C1D"/>
          <w:kern w:val="0"/>
          <w:sz w:val="27"/>
          <w:szCs w:val="27"/>
          <w:lang w:eastAsia="en-IN"/>
          <w14:ligatures w14:val="none"/>
        </w:rPr>
        <w:t>14. Organizational Structure and Design</w:t>
      </w:r>
    </w:p>
    <w:tbl>
      <w:tblPr>
        <w:tblW w:w="0" w:type="auto"/>
        <w:jc w:val="center"/>
        <w:tblCellSpacing w:w="15" w:type="dxa"/>
        <w:tblCellMar>
          <w:left w:w="0" w:type="dxa"/>
          <w:right w:w="0" w:type="dxa"/>
        </w:tblCellMar>
        <w:tblLook w:val="04A0" w:firstRow="1" w:lastRow="0" w:firstColumn="1" w:lastColumn="0" w:noHBand="0" w:noVBand="1"/>
      </w:tblPr>
      <w:tblGrid>
        <w:gridCol w:w="2940"/>
        <w:gridCol w:w="2727"/>
        <w:gridCol w:w="3501"/>
      </w:tblGrid>
      <w:tr w:rsidR="00194DF7" w:rsidRPr="00194DF7" w14:paraId="337FEA2F" w14:textId="77777777" w:rsidTr="00194DF7">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B1EE6"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Design Element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D29B0"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Conceptual Link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4E708"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Strategic Benefit</w:t>
            </w:r>
          </w:p>
        </w:tc>
      </w:tr>
      <w:tr w:rsidR="00194DF7" w:rsidRPr="00194DF7" w14:paraId="382324D8" w14:textId="77777777" w:rsidTr="00194DF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7E377"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Platform-based Divisions (GDS / Airline IT / Hospitality)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E36A1"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Differentiation:</w:t>
            </w:r>
            <w:r w:rsidRPr="00194DF7">
              <w:rPr>
                <w:rFonts w:ascii="Times New Roman" w:eastAsia="Times New Roman" w:hAnsi="Times New Roman" w:cs="Times New Roman"/>
                <w:color w:val="1B1C1D"/>
                <w:kern w:val="0"/>
                <w:lang w:eastAsia="en-IN"/>
                <w14:ligatures w14:val="none"/>
              </w:rPr>
              <w:t xml:space="preserve"> Product specialization by market.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295A2"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"Focuses expertise, leverages domain knowledge for reliability."</w:t>
            </w:r>
          </w:p>
        </w:tc>
      </w:tr>
      <w:tr w:rsidR="00194DF7" w:rsidRPr="00194DF7" w14:paraId="53474223" w14:textId="77777777" w:rsidTr="00194DF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946C4"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Global Product Integration Office (Proposed)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C8DF2"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Integration Mechanisms</w:t>
            </w:r>
            <w:r w:rsidRPr="00194DF7">
              <w:rPr>
                <w:rFonts w:ascii="Times New Roman" w:eastAsia="Times New Roman" w:hAnsi="Times New Roman" w:cs="Times New Roman"/>
                <w:color w:val="1B1C1D"/>
                <w:kern w:val="0"/>
                <w:lang w:eastAsia="en-IN"/>
                <w14:ligatures w14:val="none"/>
              </w:rPr>
              <w:t xml:space="preserve"> (Mintzberg)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E2DFD"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"Facilitates coordination across product teams, ensuring seamless API and release management."</w:t>
            </w:r>
          </w:p>
        </w:tc>
      </w:tr>
      <w:tr w:rsidR="00194DF7" w:rsidRPr="00194DF7" w14:paraId="241634BA" w14:textId="77777777" w:rsidTr="00194DF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12309"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Functional Centralization in Core Ops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A06CE"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Mechanistic Structure / SOPs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3F477"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Ensures service reliability and compliance for mission-critical systems.</w:t>
            </w:r>
          </w:p>
        </w:tc>
      </w:tr>
      <w:tr w:rsidR="00194DF7" w:rsidRPr="00194DF7" w14:paraId="4FFE3B29" w14:textId="77777777" w:rsidTr="00194DF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17F98"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lastRenderedPageBreak/>
              <w:t>Decentralized Regional Sales and 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895CB"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Organic Structure / Mutual Adjustment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744FC"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 xml:space="preserve">Improves responsiveness to </w:t>
            </w:r>
            <w:proofErr w:type="gramStart"/>
            <w:r w:rsidRPr="00194DF7">
              <w:rPr>
                <w:rFonts w:ascii="Times New Roman" w:eastAsia="Times New Roman" w:hAnsi="Times New Roman" w:cs="Times New Roman"/>
                <w:color w:val="1B1C1D"/>
                <w:kern w:val="0"/>
                <w:lang w:eastAsia="en-IN"/>
                <w14:ligatures w14:val="none"/>
              </w:rPr>
              <w:t>airlines’</w:t>
            </w:r>
            <w:proofErr w:type="gramEnd"/>
            <w:r w:rsidRPr="00194DF7">
              <w:rPr>
                <w:rFonts w:ascii="Times New Roman" w:eastAsia="Times New Roman" w:hAnsi="Times New Roman" w:cs="Times New Roman"/>
                <w:color w:val="1B1C1D"/>
                <w:kern w:val="0"/>
                <w:lang w:eastAsia="en-IN"/>
                <w14:ligatures w14:val="none"/>
              </w:rPr>
              <w:t xml:space="preserve"> and hotels’ local market needs.</w:t>
            </w:r>
          </w:p>
        </w:tc>
      </w:tr>
      <w:tr w:rsidR="00194DF7" w:rsidRPr="00194DF7" w14:paraId="29DF93B9" w14:textId="77777777" w:rsidTr="00194DF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06F01"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"Alliances with Tech Vendors (e.g., AWS)"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F74C5"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Resource Dependence Theory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F899F"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Reduces capital intensity while maintaining scalability.</w:t>
            </w:r>
          </w:p>
        </w:tc>
      </w:tr>
      <w:tr w:rsidR="00194DF7" w:rsidRPr="00194DF7" w14:paraId="3C1D093A" w14:textId="77777777" w:rsidTr="00194DF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2D689"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Cross-functional Innovation Teams (Mosaic /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CED56"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w:t>
            </w:r>
            <w:r w:rsidRPr="00194DF7">
              <w:rPr>
                <w:rFonts w:ascii="Times New Roman" w:eastAsia="Times New Roman" w:hAnsi="Times New Roman" w:cs="Times New Roman"/>
                <w:b/>
                <w:bCs/>
                <w:color w:val="1B1C1D"/>
                <w:kern w:val="0"/>
                <w:bdr w:val="none" w:sz="0" w:space="0" w:color="auto" w:frame="1"/>
                <w:lang w:eastAsia="en-IN"/>
                <w14:ligatures w14:val="none"/>
              </w:rPr>
              <w:t>Integration Mechanisms</w:t>
            </w:r>
            <w:r w:rsidRPr="00194DF7">
              <w:rPr>
                <w:rFonts w:ascii="Times New Roman" w:eastAsia="Times New Roman" w:hAnsi="Times New Roman" w:cs="Times New Roman"/>
                <w:color w:val="1B1C1D"/>
                <w:kern w:val="0"/>
                <w:lang w:eastAsia="en-IN"/>
                <w14:ligatures w14:val="none"/>
              </w:rPr>
              <w:t xml:space="preserve"> – Liaison Roles, Teams"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9AC20"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Enhances agility and knowledge sharing for emerging products.</w:t>
            </w:r>
          </w:p>
        </w:tc>
      </w:tr>
    </w:tbl>
    <w:p w14:paraId="40F7BDBD" w14:textId="77777777" w:rsidR="00194DF7" w:rsidRPr="00194DF7" w:rsidRDefault="00194DF7" w:rsidP="00194DF7">
      <w:p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Critique:</w:t>
      </w:r>
      <w:r w:rsidRPr="00194DF7">
        <w:rPr>
          <w:rFonts w:ascii="Times New Roman" w:eastAsia="Times New Roman" w:hAnsi="Times New Roman" w:cs="Times New Roman"/>
          <w:color w:val="1B1C1D"/>
          <w:kern w:val="0"/>
          <w:lang w:eastAsia="en-IN"/>
          <w14:ligatures w14:val="none"/>
        </w:rPr>
        <w:t xml:space="preserve"> Sabre’s hybrid mechanistic–organic structure fits its dual priorities of reliability and innovation. However, coordination among platform teams remains complex; integration mechanisms are underdeveloped, leading to duplicated development efforts and slow response to regional customization needs.</w:t>
      </w:r>
    </w:p>
    <w:p w14:paraId="077689FA" w14:textId="77777777" w:rsidR="00194DF7" w:rsidRDefault="00194DF7"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p>
    <w:p w14:paraId="079587D3" w14:textId="77777777" w:rsidR="00194DF7" w:rsidRDefault="00194DF7"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p>
    <w:p w14:paraId="208EEAFB" w14:textId="77777777" w:rsidR="00194DF7" w:rsidRDefault="00194DF7"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p>
    <w:p w14:paraId="7B36DEB6" w14:textId="0E885E1B" w:rsidR="00194DF7" w:rsidRPr="00194DF7" w:rsidRDefault="00194DF7"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r w:rsidRPr="00194DF7">
        <w:rPr>
          <w:rFonts w:ascii="Times New Roman" w:eastAsia="Times New Roman" w:hAnsi="Times New Roman" w:cs="Times New Roman"/>
          <w:b/>
          <w:bCs/>
          <w:color w:val="1B1C1D"/>
          <w:kern w:val="0"/>
          <w:sz w:val="27"/>
          <w:szCs w:val="27"/>
          <w:lang w:eastAsia="en-IN"/>
          <w14:ligatures w14:val="none"/>
        </w:rPr>
        <w:t>15. Strategy Alignment with Course Concepts</w:t>
      </w:r>
    </w:p>
    <w:tbl>
      <w:tblPr>
        <w:tblW w:w="0" w:type="auto"/>
        <w:tblCellSpacing w:w="15" w:type="dxa"/>
        <w:tblCellMar>
          <w:left w:w="0" w:type="dxa"/>
          <w:right w:w="0" w:type="dxa"/>
        </w:tblCellMar>
        <w:tblLook w:val="04A0" w:firstRow="1" w:lastRow="0" w:firstColumn="1" w:lastColumn="0" w:noHBand="0" w:noVBand="1"/>
      </w:tblPr>
      <w:tblGrid>
        <w:gridCol w:w="2123"/>
        <w:gridCol w:w="3946"/>
        <w:gridCol w:w="3099"/>
      </w:tblGrid>
      <w:tr w:rsidR="00194DF7" w:rsidRPr="00194DF7" w14:paraId="558D177A" w14:textId="77777777" w:rsidTr="00194DF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AF145"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Strategic Dimension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68F00"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Sabre’s Approach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8CFEA"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Course Concept Alignment</w:t>
            </w:r>
          </w:p>
        </w:tc>
      </w:tr>
      <w:tr w:rsidR="00194DF7" w:rsidRPr="00194DF7" w14:paraId="0BC4797F" w14:textId="77777777" w:rsidTr="00194DF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A8A80"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Core Service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0088D"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"Unified travel-commerce ecosystem linking airlines, hotels, and agencies."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4B79A"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Core Competency &amp; Value Chain Integration</w:t>
            </w:r>
          </w:p>
        </w:tc>
      </w:tr>
      <w:tr w:rsidR="00194DF7" w:rsidRPr="00194DF7" w14:paraId="642AF57C" w14:textId="77777777" w:rsidTr="00194DF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5BC01"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Execution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A350D"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"Dual operating model—mechanistic for operations, organic for innovation."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20087"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Design Choice: SOP vs. Mutual Adjustment</w:t>
            </w:r>
          </w:p>
        </w:tc>
      </w:tr>
      <w:tr w:rsidR="00194DF7" w:rsidRPr="00194DF7" w14:paraId="20E6C999" w14:textId="77777777" w:rsidTr="00194DF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889F6"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Competitive Stance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17C22"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"Differentiation through reliability, data, and retailing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3EF0E"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Functional Strategy</w:t>
            </w:r>
            <w:r w:rsidRPr="00194DF7">
              <w:rPr>
                <w:rFonts w:ascii="Times New Roman" w:eastAsia="Times New Roman" w:hAnsi="Times New Roman" w:cs="Times New Roman"/>
                <w:color w:val="1B1C1D"/>
                <w:kern w:val="0"/>
                <w:lang w:eastAsia="en-IN"/>
                <w14:ligatures w14:val="none"/>
              </w:rPr>
              <w:t xml:space="preserve"> – Differentiation</w:t>
            </w:r>
          </w:p>
        </w:tc>
      </w:tr>
      <w:tr w:rsidR="00194DF7" w:rsidRPr="00194DF7" w14:paraId="07477958" w14:textId="77777777" w:rsidTr="00194DF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0C06F"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Financial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33198"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Debt reduction via portfolio rationalization (possible SynXis sale).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29B2B"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Transaction Cost Theory / Resource Dependence</w:t>
            </w:r>
          </w:p>
        </w:tc>
      </w:tr>
      <w:tr w:rsidR="00194DF7" w:rsidRPr="00194DF7" w14:paraId="08FB09F1" w14:textId="77777777" w:rsidTr="00194DF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6EBB3"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Global Presence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D1DDA"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Global products with regional customization.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BEF649"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Transnational Strategy Typology</w:t>
            </w:r>
          </w:p>
        </w:tc>
      </w:tr>
    </w:tbl>
    <w:p w14:paraId="21B9179A" w14:textId="77777777" w:rsidR="00194DF7" w:rsidRPr="00194DF7" w:rsidRDefault="00194DF7"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r w:rsidRPr="00194DF7">
        <w:rPr>
          <w:rFonts w:ascii="Times New Roman" w:eastAsia="Times New Roman" w:hAnsi="Times New Roman" w:cs="Times New Roman"/>
          <w:b/>
          <w:bCs/>
          <w:color w:val="1B1C1D"/>
          <w:kern w:val="0"/>
          <w:sz w:val="27"/>
          <w:szCs w:val="27"/>
          <w:lang w:eastAsia="en-IN"/>
          <w14:ligatures w14:val="none"/>
        </w:rPr>
        <w:t>16. Strategic Evaluation Based on Theories</w:t>
      </w:r>
    </w:p>
    <w:tbl>
      <w:tblPr>
        <w:tblW w:w="0" w:type="auto"/>
        <w:tblCellSpacing w:w="15" w:type="dxa"/>
        <w:tblCellMar>
          <w:left w:w="0" w:type="dxa"/>
          <w:right w:w="0" w:type="dxa"/>
        </w:tblCellMar>
        <w:tblLook w:val="04A0" w:firstRow="1" w:lastRow="0" w:firstColumn="1" w:lastColumn="0" w:noHBand="0" w:noVBand="1"/>
      </w:tblPr>
      <w:tblGrid>
        <w:gridCol w:w="2312"/>
        <w:gridCol w:w="2629"/>
        <w:gridCol w:w="2005"/>
        <w:gridCol w:w="2222"/>
      </w:tblGrid>
      <w:tr w:rsidR="00194DF7" w:rsidRPr="00194DF7" w14:paraId="3207FA8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B397F"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lastRenderedPageBreak/>
              <w:t>Theoretical Lens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9B314"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Application to Sabre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7B5FE"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Strengths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DC62A"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Limitations / Risks</w:t>
            </w:r>
          </w:p>
        </w:tc>
      </w:tr>
      <w:tr w:rsidR="00194DF7" w:rsidRPr="00194DF7" w14:paraId="1C1AAF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2A22B"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Transaction Cost Theory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4545E"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Retains core tech in-house; outsources infrastructure hosting.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560A8"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Cost efficiency; control over 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9E3F4"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Risk of over-reliance on partners; vendor lock-in.</w:t>
            </w:r>
          </w:p>
        </w:tc>
      </w:tr>
      <w:tr w:rsidR="00194DF7" w:rsidRPr="00194DF7" w14:paraId="47B5AC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4533B"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Resource Dependence Theory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9D50D"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Builds partnerships with airlines and cloud vendors to secure access to distribution networks.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F2CA9"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Enhances resilience and data exchange.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14089"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High dependence on a few large carriers or tech suppliers.</w:t>
            </w:r>
          </w:p>
        </w:tc>
      </w:tr>
      <w:tr w:rsidR="00194DF7" w:rsidRPr="00194DF7" w14:paraId="50BEC4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39CB9"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Differentiation–Integration Balance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02C9D"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Product specialization balanced with integration teams.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C60D9"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Focused expertise and adaptability.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C2832"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Coordination overhead; slower decision-making.</w:t>
            </w:r>
          </w:p>
        </w:tc>
      </w:tr>
      <w:tr w:rsidR="00194DF7" w:rsidRPr="00194DF7" w14:paraId="6F2303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6B239"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Core Competency Framework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01451"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AI-driven retailing and real-time offer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83893"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Hard-to-imitate digital capability.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F2E61"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"Competitors (Amadeus, Travelport) closing gap."</w:t>
            </w:r>
          </w:p>
        </w:tc>
      </w:tr>
      <w:tr w:rsidR="00194DF7" w:rsidRPr="00194DF7" w14:paraId="663728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B4A69"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Change Management Approaches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25C69"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Mix of directive cost-cutting and emergent innovation initiatives.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FFFCF"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Financial discipline with innovation continuity.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595F8"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Cultural resistance to dual priorities.</w:t>
            </w:r>
          </w:p>
        </w:tc>
      </w:tr>
    </w:tbl>
    <w:p w14:paraId="6D290FA4" w14:textId="77777777" w:rsidR="00194DF7" w:rsidRPr="00194DF7" w:rsidRDefault="00194DF7"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r w:rsidRPr="00194DF7">
        <w:rPr>
          <w:rFonts w:ascii="Times New Roman" w:eastAsia="Times New Roman" w:hAnsi="Times New Roman" w:cs="Times New Roman"/>
          <w:b/>
          <w:bCs/>
          <w:color w:val="1B1C1D"/>
          <w:kern w:val="0"/>
          <w:sz w:val="27"/>
          <w:szCs w:val="27"/>
          <w:lang w:eastAsia="en-IN"/>
          <w14:ligatures w14:val="none"/>
        </w:rPr>
        <w:t>17. Change and Adaptation Perspective</w:t>
      </w:r>
    </w:p>
    <w:tbl>
      <w:tblPr>
        <w:tblW w:w="0" w:type="auto"/>
        <w:tblCellSpacing w:w="15" w:type="dxa"/>
        <w:tblCellMar>
          <w:left w:w="0" w:type="dxa"/>
          <w:right w:w="0" w:type="dxa"/>
        </w:tblCellMar>
        <w:tblLook w:val="04A0" w:firstRow="1" w:lastRow="0" w:firstColumn="1" w:lastColumn="0" w:noHBand="0" w:noVBand="1"/>
      </w:tblPr>
      <w:tblGrid>
        <w:gridCol w:w="1991"/>
        <w:gridCol w:w="3550"/>
        <w:gridCol w:w="3627"/>
      </w:tblGrid>
      <w:tr w:rsidR="00194DF7" w:rsidRPr="00194DF7" w14:paraId="20B3581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9EBBB"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Approach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5472A"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Sabre Application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7F51F"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Evaluation</w:t>
            </w:r>
          </w:p>
        </w:tc>
      </w:tr>
      <w:tr w:rsidR="00194DF7" w:rsidRPr="00194DF7" w14:paraId="38291A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73C2E"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Directive 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C71AD"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Portfolio restructuring and cost optimization.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1BFD5"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Ensures financial stability but may reduce innovation morale.</w:t>
            </w:r>
          </w:p>
        </w:tc>
      </w:tr>
      <w:tr w:rsidR="00194DF7" w:rsidRPr="00194DF7" w14:paraId="5046EC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9150A"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Emergent 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8D84E"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Grass-roots innovation teams for AI and retailing.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F009B"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Encourages adaptability; supports organic learning.</w:t>
            </w:r>
          </w:p>
        </w:tc>
      </w:tr>
      <w:tr w:rsidR="00194DF7" w:rsidRPr="00194DF7" w14:paraId="4CBC87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4CB80"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Masterful 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FDA3A"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Global leadership alignment through “One Sabre” program.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385B1"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"Builds shared vision, though execution speed remains slow."</w:t>
            </w:r>
          </w:p>
        </w:tc>
      </w:tr>
      <w:tr w:rsidR="00194DF7" w:rsidRPr="00194DF7" w14:paraId="701736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C0B65"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Self-Assembly 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E0EB7"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Regional units customizing offers and pricing tools.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7410C" w14:textId="77777777" w:rsidR="00194DF7" w:rsidRPr="00194DF7" w:rsidRDefault="00194DF7" w:rsidP="00194DF7">
            <w:pPr>
              <w:spacing w:after="0" w:line="240" w:lineRule="auto"/>
              <w:jc w:val="center"/>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Promotes local ownership; fits transnational design.</w:t>
            </w:r>
          </w:p>
        </w:tc>
      </w:tr>
    </w:tbl>
    <w:p w14:paraId="4594030E" w14:textId="77777777" w:rsidR="00194DF7" w:rsidRPr="00194DF7" w:rsidRDefault="00194DF7"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r w:rsidRPr="00194DF7">
        <w:rPr>
          <w:rFonts w:ascii="Times New Roman" w:eastAsia="Times New Roman" w:hAnsi="Times New Roman" w:cs="Times New Roman"/>
          <w:b/>
          <w:bCs/>
          <w:color w:val="1B1C1D"/>
          <w:kern w:val="0"/>
          <w:sz w:val="27"/>
          <w:szCs w:val="27"/>
          <w:lang w:eastAsia="en-IN"/>
          <w14:ligatures w14:val="none"/>
        </w:rPr>
        <w:t>17.A. Analysis of Additional Organizational Concepts (Sabre)</w:t>
      </w:r>
    </w:p>
    <w:p w14:paraId="5A460F78" w14:textId="77777777" w:rsidR="00194DF7" w:rsidRPr="00194DF7" w:rsidRDefault="00194DF7" w:rsidP="00194DF7">
      <w:pPr>
        <w:numPr>
          <w:ilvl w:val="0"/>
          <w:numId w:val="17"/>
        </w:num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Greiner Growth Model / Life Cycle Model:</w:t>
      </w:r>
      <w:r w:rsidRPr="00194DF7">
        <w:rPr>
          <w:rFonts w:ascii="Times New Roman" w:eastAsia="Times New Roman" w:hAnsi="Times New Roman" w:cs="Times New Roman"/>
          <w:color w:val="1B1C1D"/>
          <w:kern w:val="0"/>
          <w:lang w:eastAsia="en-IN"/>
          <w14:ligatures w14:val="none"/>
        </w:rPr>
        <w:t xml:space="preserve"> Sabre appears to be in a mature phase, navigating a crisis requiring renewal. This is evidenced by "Recent restructuring" and </w:t>
      </w:r>
      <w:r w:rsidRPr="00194DF7">
        <w:rPr>
          <w:rFonts w:ascii="Times New Roman" w:eastAsia="Times New Roman" w:hAnsi="Times New Roman" w:cs="Times New Roman"/>
          <w:color w:val="1B1C1D"/>
          <w:kern w:val="0"/>
          <w:lang w:eastAsia="en-IN"/>
          <w14:ligatures w14:val="none"/>
        </w:rPr>
        <w:lastRenderedPageBreak/>
        <w:t>"cost optimization", driven by "financial leverage pressures". The "coordination and integration challenges" and "collaboration silos" suggest a "crisis of control" or "red tape." The "‘One Sabre’ program" is a typical Stage 5 response to "build shared vision" and enhance collaboration.</w:t>
      </w:r>
    </w:p>
    <w:p w14:paraId="4CCC5133" w14:textId="77777777" w:rsidR="00194DF7" w:rsidRPr="00194DF7" w:rsidRDefault="00194DF7" w:rsidP="00194DF7">
      <w:pPr>
        <w:numPr>
          <w:ilvl w:val="0"/>
          <w:numId w:val="17"/>
        </w:num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SOP (Standard Operating Procedures):</w:t>
      </w:r>
      <w:r w:rsidRPr="00194DF7">
        <w:rPr>
          <w:rFonts w:ascii="Times New Roman" w:eastAsia="Times New Roman" w:hAnsi="Times New Roman" w:cs="Times New Roman"/>
          <w:color w:val="1B1C1D"/>
          <w:kern w:val="0"/>
          <w:lang w:eastAsia="en-IN"/>
          <w14:ligatures w14:val="none"/>
        </w:rPr>
        <w:t xml:space="preserve"> SOPs are critical for Sabre's core reliability. The design includes "Functional Centralization in Core Ops" which runs on a "Mechanistic Structure / SOPs". The report highlights the "Design Choice: SOP vs. Mutual Adjustment" and recommends "strict SOPs for core operations".</w:t>
      </w:r>
    </w:p>
    <w:p w14:paraId="5553ECDD" w14:textId="77777777" w:rsidR="00194DF7" w:rsidRPr="00194DF7" w:rsidRDefault="00194DF7" w:rsidP="00194DF7">
      <w:pPr>
        <w:numPr>
          <w:ilvl w:val="0"/>
          <w:numId w:val="17"/>
        </w:num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Decentralisation:</w:t>
      </w:r>
      <w:r w:rsidRPr="00194DF7">
        <w:rPr>
          <w:rFonts w:ascii="Times New Roman" w:eastAsia="Times New Roman" w:hAnsi="Times New Roman" w:cs="Times New Roman"/>
          <w:color w:val="1B1C1D"/>
          <w:kern w:val="0"/>
          <w:lang w:eastAsia="en-IN"/>
          <w14:ligatures w14:val="none"/>
        </w:rPr>
        <w:t xml:space="preserve"> Sabre uses a selective approach, employing "Decentralized Regional Sales and Implementation" for "responsiveness to... local market needs". The recommendation to "Decentralize regional authority for pricing and customization" suggests a push for further, targeted decentralization.</w:t>
      </w:r>
    </w:p>
    <w:p w14:paraId="0FB2C43D" w14:textId="77777777" w:rsidR="00194DF7" w:rsidRPr="00194DF7" w:rsidRDefault="00194DF7" w:rsidP="00194DF7">
      <w:pPr>
        <w:numPr>
          <w:ilvl w:val="0"/>
          <w:numId w:val="17"/>
        </w:num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Bureaucracy &amp; Machine:</w:t>
      </w:r>
      <w:r w:rsidRPr="00194DF7">
        <w:rPr>
          <w:rFonts w:ascii="Times New Roman" w:eastAsia="Times New Roman" w:hAnsi="Times New Roman" w:cs="Times New Roman"/>
          <w:color w:val="1B1C1D"/>
          <w:kern w:val="0"/>
          <w:lang w:eastAsia="en-IN"/>
          <w14:ligatures w14:val="none"/>
        </w:rPr>
        <w:t xml:space="preserve"> Sabre operates as a hybrid, with a "Machine Bureaucracy" at its core. It uses a "Mechanistic Structure" for its core operations to ensure "service reliability and compliance". This is balanced by an "Organic Structure" (e.g., "Cross-functional Innovation Teams") for innovation, creating the "hybrid mechanistic–organic structure".</w:t>
      </w:r>
    </w:p>
    <w:p w14:paraId="581F057E" w14:textId="77777777" w:rsidR="00194DF7" w:rsidRPr="00194DF7" w:rsidRDefault="00194DF7"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r w:rsidRPr="00194DF7">
        <w:rPr>
          <w:rFonts w:ascii="Times New Roman" w:eastAsia="Times New Roman" w:hAnsi="Times New Roman" w:cs="Times New Roman"/>
          <w:b/>
          <w:bCs/>
          <w:color w:val="1B1C1D"/>
          <w:kern w:val="0"/>
          <w:sz w:val="27"/>
          <w:szCs w:val="27"/>
          <w:lang w:eastAsia="en-IN"/>
          <w14:ligatures w14:val="none"/>
        </w:rPr>
        <w:t>18. Key Findings and Recommendations</w:t>
      </w:r>
    </w:p>
    <w:p w14:paraId="3922887E" w14:textId="77777777" w:rsidR="00194DF7" w:rsidRPr="00194DF7" w:rsidRDefault="00194DF7" w:rsidP="00194DF7">
      <w:p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Findings:</w:t>
      </w:r>
    </w:p>
    <w:p w14:paraId="7CDB1BD1" w14:textId="77777777" w:rsidR="00194DF7" w:rsidRPr="00194DF7" w:rsidRDefault="00194DF7" w:rsidP="00194DF7">
      <w:pPr>
        <w:numPr>
          <w:ilvl w:val="0"/>
          <w:numId w:val="18"/>
        </w:numPr>
        <w:spacing w:after="12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Sabre’s transnational hybrid structure aligns well with its technology-platform strategy.</w:t>
      </w:r>
    </w:p>
    <w:p w14:paraId="7CC71D27" w14:textId="77777777" w:rsidR="00194DF7" w:rsidRPr="00194DF7" w:rsidRDefault="00194DF7" w:rsidP="00194DF7">
      <w:pPr>
        <w:numPr>
          <w:ilvl w:val="0"/>
          <w:numId w:val="18"/>
        </w:numPr>
        <w:spacing w:after="12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 xml:space="preserve">Integration mechanisms </w:t>
      </w:r>
      <w:proofErr w:type="gramStart"/>
      <w:r w:rsidRPr="00194DF7">
        <w:rPr>
          <w:rFonts w:ascii="Times New Roman" w:eastAsia="Times New Roman" w:hAnsi="Times New Roman" w:cs="Times New Roman"/>
          <w:color w:val="1B1C1D"/>
          <w:kern w:val="0"/>
          <w:lang w:eastAsia="en-IN"/>
          <w14:ligatures w14:val="none"/>
        </w:rPr>
        <w:t>lag behind</w:t>
      </w:r>
      <w:proofErr w:type="gramEnd"/>
      <w:r w:rsidRPr="00194DF7">
        <w:rPr>
          <w:rFonts w:ascii="Times New Roman" w:eastAsia="Times New Roman" w:hAnsi="Times New Roman" w:cs="Times New Roman"/>
          <w:color w:val="1B1C1D"/>
          <w:kern w:val="0"/>
          <w:lang w:eastAsia="en-IN"/>
          <w14:ligatures w14:val="none"/>
        </w:rPr>
        <w:t xml:space="preserve"> differentiation; collaboration silos exist.</w:t>
      </w:r>
    </w:p>
    <w:p w14:paraId="7DB667A9" w14:textId="77777777" w:rsidR="00194DF7" w:rsidRPr="00194DF7" w:rsidRDefault="00194DF7" w:rsidP="00194DF7">
      <w:pPr>
        <w:numPr>
          <w:ilvl w:val="0"/>
          <w:numId w:val="18"/>
        </w:numPr>
        <w:spacing w:after="12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Financial leverage pressures influence strategic flexibility.</w:t>
      </w:r>
    </w:p>
    <w:p w14:paraId="59B3C065" w14:textId="77777777" w:rsidR="00194DF7" w:rsidRPr="00194DF7" w:rsidRDefault="00194DF7" w:rsidP="00194DF7">
      <w:pPr>
        <w:numPr>
          <w:ilvl w:val="0"/>
          <w:numId w:val="18"/>
        </w:numPr>
        <w:spacing w:after="12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Data, AI, and interoperability are emerging as core differentiators.</w:t>
      </w:r>
    </w:p>
    <w:p w14:paraId="5FE8C239" w14:textId="77777777" w:rsidR="00194DF7" w:rsidRPr="00194DF7" w:rsidRDefault="00194DF7" w:rsidP="00194DF7">
      <w:pPr>
        <w:spacing w:after="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b/>
          <w:bCs/>
          <w:color w:val="1B1C1D"/>
          <w:kern w:val="0"/>
          <w:bdr w:val="none" w:sz="0" w:space="0" w:color="auto" w:frame="1"/>
          <w:lang w:eastAsia="en-IN"/>
          <w14:ligatures w14:val="none"/>
        </w:rPr>
        <w:t>Recommendations:</w:t>
      </w:r>
    </w:p>
    <w:p w14:paraId="7F6FF53F" w14:textId="77777777" w:rsidR="00194DF7" w:rsidRPr="00194DF7" w:rsidRDefault="00194DF7" w:rsidP="00194DF7">
      <w:pPr>
        <w:numPr>
          <w:ilvl w:val="0"/>
          <w:numId w:val="19"/>
        </w:numPr>
        <w:spacing w:after="12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Institutionalize a Global Product Integration Office to strengthen cross-product coordination.</w:t>
      </w:r>
    </w:p>
    <w:p w14:paraId="05206B59" w14:textId="77777777" w:rsidR="00194DF7" w:rsidRPr="00194DF7" w:rsidRDefault="00194DF7" w:rsidP="00194DF7">
      <w:pPr>
        <w:numPr>
          <w:ilvl w:val="0"/>
          <w:numId w:val="19"/>
        </w:numPr>
        <w:spacing w:after="12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Maintain dual operating logic: strict SOPs for core operations, agile autonomy for innovation teams.</w:t>
      </w:r>
    </w:p>
    <w:p w14:paraId="47C2F9BE" w14:textId="77777777" w:rsidR="00194DF7" w:rsidRPr="00194DF7" w:rsidRDefault="00194DF7" w:rsidP="00194DF7">
      <w:pPr>
        <w:numPr>
          <w:ilvl w:val="0"/>
          <w:numId w:val="19"/>
        </w:numPr>
        <w:spacing w:after="12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Evaluate SynXis divestiture using strategic-fit and transaction-cost criteria, not purely financial targets.</w:t>
      </w:r>
    </w:p>
    <w:p w14:paraId="1DF3C1A5" w14:textId="77777777" w:rsidR="00194DF7" w:rsidRPr="00194DF7" w:rsidRDefault="00194DF7" w:rsidP="00194DF7">
      <w:pPr>
        <w:numPr>
          <w:ilvl w:val="0"/>
          <w:numId w:val="19"/>
        </w:numPr>
        <w:spacing w:after="12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Decentralize regional authority for pricing and customization to improve local responsiveness.</w:t>
      </w:r>
    </w:p>
    <w:p w14:paraId="2B58A5B1" w14:textId="77777777" w:rsidR="00194DF7" w:rsidRPr="00194DF7" w:rsidRDefault="00194DF7" w:rsidP="00194DF7">
      <w:pPr>
        <w:numPr>
          <w:ilvl w:val="0"/>
          <w:numId w:val="19"/>
        </w:numPr>
        <w:spacing w:after="12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Invest in data-governance and API platforms to deepen customer lock-in and raise switching costs.</w:t>
      </w:r>
    </w:p>
    <w:p w14:paraId="02D94D79" w14:textId="77777777" w:rsidR="00194DF7" w:rsidRPr="00194DF7" w:rsidRDefault="00194DF7" w:rsidP="00194DF7">
      <w:pPr>
        <w:numPr>
          <w:ilvl w:val="0"/>
          <w:numId w:val="19"/>
        </w:numPr>
        <w:spacing w:after="12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Adopt a directive + emergent change hybrid —financial discipline plus protected innovation budgets.</w:t>
      </w:r>
    </w:p>
    <w:p w14:paraId="657DCA16" w14:textId="77777777" w:rsidR="00194DF7" w:rsidRPr="00194DF7" w:rsidRDefault="00194DF7" w:rsidP="00194DF7">
      <w:pPr>
        <w:spacing w:after="120" w:line="240" w:lineRule="auto"/>
        <w:outlineLvl w:val="2"/>
        <w:rPr>
          <w:rFonts w:ascii="Times New Roman" w:eastAsia="Times New Roman" w:hAnsi="Times New Roman" w:cs="Times New Roman"/>
          <w:b/>
          <w:bCs/>
          <w:color w:val="1B1C1D"/>
          <w:kern w:val="0"/>
          <w:sz w:val="27"/>
          <w:szCs w:val="27"/>
          <w:lang w:eastAsia="en-IN"/>
          <w14:ligatures w14:val="none"/>
        </w:rPr>
      </w:pPr>
      <w:r w:rsidRPr="00194DF7">
        <w:rPr>
          <w:rFonts w:ascii="Times New Roman" w:eastAsia="Times New Roman" w:hAnsi="Times New Roman" w:cs="Times New Roman"/>
          <w:b/>
          <w:bCs/>
          <w:color w:val="1B1C1D"/>
          <w:kern w:val="0"/>
          <w:sz w:val="27"/>
          <w:szCs w:val="27"/>
          <w:lang w:eastAsia="en-IN"/>
          <w14:ligatures w14:val="none"/>
        </w:rPr>
        <w:t>19. Conclusions</w:t>
      </w:r>
    </w:p>
    <w:p w14:paraId="25BE9180" w14:textId="77777777" w:rsidR="00194DF7" w:rsidRPr="00194DF7" w:rsidRDefault="00194DF7" w:rsidP="00194DF7">
      <w:pPr>
        <w:spacing w:after="24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t>KPMG exemplifies a transnational organization that leverages global standards while empowering local responsiveness. Its structure, driven by strong integration mechanisms and advanced technology, supports a broad differentiation strategy. However, challenges remain in balancing control with autonomy and in ensuring seamless collaboration among member firms. The firm’s strategic success depends on sustaining its trust-based positioning while continuously evolving its operating model for agility and innovation.</w:t>
      </w:r>
    </w:p>
    <w:p w14:paraId="1AE0AE60" w14:textId="77777777" w:rsidR="00194DF7" w:rsidRPr="00194DF7" w:rsidRDefault="00194DF7" w:rsidP="00194DF7">
      <w:pPr>
        <w:spacing w:after="240" w:line="240" w:lineRule="auto"/>
        <w:rPr>
          <w:rFonts w:ascii="Times New Roman" w:eastAsia="Times New Roman" w:hAnsi="Times New Roman" w:cs="Times New Roman"/>
          <w:color w:val="1B1C1D"/>
          <w:kern w:val="0"/>
          <w:lang w:eastAsia="en-IN"/>
          <w14:ligatures w14:val="none"/>
        </w:rPr>
      </w:pPr>
      <w:r w:rsidRPr="00194DF7">
        <w:rPr>
          <w:rFonts w:ascii="Times New Roman" w:eastAsia="Times New Roman" w:hAnsi="Times New Roman" w:cs="Times New Roman"/>
          <w:color w:val="1B1C1D"/>
          <w:kern w:val="0"/>
          <w:lang w:eastAsia="en-IN"/>
          <w14:ligatures w14:val="none"/>
        </w:rPr>
        <w:lastRenderedPageBreak/>
        <w:t>Sabre Corporation represents a complex, technology-intensive transnational organization that successfully blends operational reliability with product innovation. Its design reflects a balance between mechanistic control (for scale and safety) and organic adaptability (for innovation and market responsiveness). Future success will depend on strengthening integration mechanisms, optimizing portfolio focus, and managing the tension between financial prudence and technological agility.</w:t>
      </w:r>
    </w:p>
    <w:p w14:paraId="0527A71F" w14:textId="55AF877B" w:rsidR="00113A5E" w:rsidRPr="00194DF7" w:rsidRDefault="00113A5E" w:rsidP="00DF0EB3">
      <w:pPr>
        <w:spacing w:after="0" w:line="240" w:lineRule="auto"/>
        <w:rPr>
          <w:rFonts w:ascii="Times New Roman" w:hAnsi="Times New Roman" w:cs="Times New Roman"/>
        </w:rPr>
      </w:pPr>
    </w:p>
    <w:p w14:paraId="5D430948" w14:textId="77777777" w:rsidR="00113A5E" w:rsidRPr="00194DF7" w:rsidRDefault="00113A5E" w:rsidP="00DF0EB3">
      <w:pPr>
        <w:spacing w:before="240" w:after="0" w:line="240" w:lineRule="auto"/>
        <w:rPr>
          <w:rFonts w:ascii="Times New Roman" w:hAnsi="Times New Roman" w:cs="Times New Roman"/>
          <w:b/>
          <w:bCs/>
        </w:rPr>
      </w:pPr>
      <w:r w:rsidRPr="00194DF7">
        <w:rPr>
          <w:rFonts w:ascii="Times New Roman" w:hAnsi="Times New Roman" w:cs="Times New Roman"/>
          <w:b/>
          <w:bCs/>
        </w:rPr>
        <w:t>20. Sources</w:t>
      </w:r>
    </w:p>
    <w:p w14:paraId="6FC7F1C2" w14:textId="77860DD0" w:rsidR="00113A5E" w:rsidRPr="00194DF7" w:rsidRDefault="00113A5E" w:rsidP="00DF0EB3">
      <w:pPr>
        <w:numPr>
          <w:ilvl w:val="0"/>
          <w:numId w:val="8"/>
        </w:numPr>
        <w:spacing w:after="0" w:line="240" w:lineRule="auto"/>
        <w:rPr>
          <w:rFonts w:ascii="Times New Roman" w:hAnsi="Times New Roman" w:cs="Times New Roman"/>
        </w:rPr>
      </w:pPr>
      <w:proofErr w:type="spellStart"/>
      <w:r w:rsidRPr="00194DF7">
        <w:rPr>
          <w:rFonts w:ascii="Times New Roman" w:hAnsi="Times New Roman" w:cs="Times New Roman"/>
        </w:rPr>
        <w:t>CaseBasix</w:t>
      </w:r>
      <w:proofErr w:type="spellEnd"/>
      <w:r w:rsidRPr="00194DF7">
        <w:rPr>
          <w:rFonts w:ascii="Times New Roman" w:hAnsi="Times New Roman" w:cs="Times New Roman"/>
        </w:rPr>
        <w:t xml:space="preserve">. (n.d.). </w:t>
      </w:r>
      <w:r w:rsidRPr="00194DF7">
        <w:rPr>
          <w:rFonts w:ascii="Times New Roman" w:hAnsi="Times New Roman" w:cs="Times New Roman"/>
          <w:i/>
          <w:iCs/>
        </w:rPr>
        <w:t>KPMG Strategy Consulting: Complete Firm Overview and Services</w:t>
      </w:r>
      <w:r w:rsidRPr="00194DF7">
        <w:rPr>
          <w:rFonts w:ascii="Times New Roman" w:hAnsi="Times New Roman" w:cs="Times New Roman"/>
        </w:rPr>
        <w:t xml:space="preserve"> . Retrieved from </w:t>
      </w:r>
      <w:hyperlink r:id="rId7" w:tgtFrame="_blank" w:history="1">
        <w:r w:rsidRPr="00194DF7">
          <w:rPr>
            <w:rStyle w:val="Hyperlink"/>
            <w:rFonts w:ascii="Times New Roman" w:hAnsi="Times New Roman" w:cs="Times New Roman"/>
          </w:rPr>
          <w:t>https://www.casebasix.com/pages/kpmg-strategy-firm-overview</w:t>
        </w:r>
      </w:hyperlink>
      <w:r w:rsidRPr="00194DF7">
        <w:rPr>
          <w:rFonts w:ascii="Times New Roman" w:hAnsi="Times New Roman" w:cs="Times New Roman"/>
        </w:rPr>
        <w:t xml:space="preserve"> </w:t>
      </w:r>
    </w:p>
    <w:p w14:paraId="6492A12D" w14:textId="0CFDB31B" w:rsidR="00113A5E" w:rsidRPr="00194DF7" w:rsidRDefault="00113A5E" w:rsidP="00DF0EB3">
      <w:pPr>
        <w:numPr>
          <w:ilvl w:val="0"/>
          <w:numId w:val="8"/>
        </w:numPr>
        <w:spacing w:after="0" w:line="240" w:lineRule="auto"/>
        <w:rPr>
          <w:rFonts w:ascii="Times New Roman" w:hAnsi="Times New Roman" w:cs="Times New Roman"/>
        </w:rPr>
      </w:pPr>
      <w:proofErr w:type="spellStart"/>
      <w:r w:rsidRPr="00194DF7">
        <w:rPr>
          <w:rFonts w:ascii="Times New Roman" w:hAnsi="Times New Roman" w:cs="Times New Roman"/>
        </w:rPr>
        <w:t>FourWeekMBA</w:t>
      </w:r>
      <w:proofErr w:type="spellEnd"/>
      <w:r w:rsidRPr="00194DF7">
        <w:rPr>
          <w:rFonts w:ascii="Times New Roman" w:hAnsi="Times New Roman" w:cs="Times New Roman"/>
        </w:rPr>
        <w:t xml:space="preserve">. (2024, April 8). </w:t>
      </w:r>
      <w:r w:rsidRPr="00194DF7">
        <w:rPr>
          <w:rFonts w:ascii="Times New Roman" w:hAnsi="Times New Roman" w:cs="Times New Roman"/>
          <w:i/>
          <w:iCs/>
        </w:rPr>
        <w:t>KPMG Business Model</w:t>
      </w:r>
      <w:r w:rsidRPr="00194DF7">
        <w:rPr>
          <w:rFonts w:ascii="Times New Roman" w:hAnsi="Times New Roman" w:cs="Times New Roman"/>
        </w:rPr>
        <w:t xml:space="preserve"> . Retrieved from </w:t>
      </w:r>
      <w:hyperlink r:id="rId8" w:tgtFrame="_blank" w:history="1">
        <w:r w:rsidRPr="00194DF7">
          <w:rPr>
            <w:rStyle w:val="Hyperlink"/>
            <w:rFonts w:ascii="Times New Roman" w:hAnsi="Times New Roman" w:cs="Times New Roman"/>
          </w:rPr>
          <w:t>https://fourweekmba.com/kpmg-business-model/</w:t>
        </w:r>
      </w:hyperlink>
      <w:r w:rsidRPr="00194DF7">
        <w:rPr>
          <w:rFonts w:ascii="Times New Roman" w:hAnsi="Times New Roman" w:cs="Times New Roman"/>
        </w:rPr>
        <w:t xml:space="preserve"> </w:t>
      </w:r>
    </w:p>
    <w:p w14:paraId="683E255E" w14:textId="7BDF592B" w:rsidR="00113A5E" w:rsidRPr="00194DF7" w:rsidRDefault="00113A5E" w:rsidP="00DF0EB3">
      <w:pPr>
        <w:numPr>
          <w:ilvl w:val="0"/>
          <w:numId w:val="8"/>
        </w:numPr>
        <w:spacing w:after="0" w:line="240" w:lineRule="auto"/>
        <w:rPr>
          <w:rFonts w:ascii="Times New Roman" w:hAnsi="Times New Roman" w:cs="Times New Roman"/>
        </w:rPr>
      </w:pPr>
      <w:r w:rsidRPr="00194DF7">
        <w:rPr>
          <w:rFonts w:ascii="Times New Roman" w:hAnsi="Times New Roman" w:cs="Times New Roman"/>
        </w:rPr>
        <w:t xml:space="preserve">KPMG International. (n.d.). </w:t>
      </w:r>
      <w:r w:rsidRPr="00194DF7">
        <w:rPr>
          <w:rFonts w:ascii="Times New Roman" w:hAnsi="Times New Roman" w:cs="Times New Roman"/>
          <w:i/>
          <w:iCs/>
        </w:rPr>
        <w:t>Business Strategy</w:t>
      </w:r>
      <w:r w:rsidRPr="00194DF7">
        <w:rPr>
          <w:rFonts w:ascii="Times New Roman" w:hAnsi="Times New Roman" w:cs="Times New Roman"/>
        </w:rPr>
        <w:t xml:space="preserve"> . Retrieved from </w:t>
      </w:r>
      <w:hyperlink r:id="rId9" w:tgtFrame="_blank" w:history="1">
        <w:r w:rsidRPr="00194DF7">
          <w:rPr>
            <w:rStyle w:val="Hyperlink"/>
            <w:rFonts w:ascii="Times New Roman" w:hAnsi="Times New Roman" w:cs="Times New Roman"/>
          </w:rPr>
          <w:t>https://kpmg.com/qa/en/services/advisory/management-consulting/business-strategy.html</w:t>
        </w:r>
      </w:hyperlink>
      <w:r w:rsidRPr="00194DF7">
        <w:rPr>
          <w:rFonts w:ascii="Times New Roman" w:hAnsi="Times New Roman" w:cs="Times New Roman"/>
        </w:rPr>
        <w:t xml:space="preserve"> </w:t>
      </w:r>
    </w:p>
    <w:p w14:paraId="332C882D" w14:textId="6150E731" w:rsidR="00113A5E" w:rsidRPr="00194DF7" w:rsidRDefault="00113A5E" w:rsidP="00DF0EB3">
      <w:pPr>
        <w:numPr>
          <w:ilvl w:val="0"/>
          <w:numId w:val="8"/>
        </w:numPr>
        <w:spacing w:after="0" w:line="240" w:lineRule="auto"/>
        <w:rPr>
          <w:rFonts w:ascii="Times New Roman" w:hAnsi="Times New Roman" w:cs="Times New Roman"/>
        </w:rPr>
      </w:pPr>
      <w:r w:rsidRPr="00194DF7">
        <w:rPr>
          <w:rFonts w:ascii="Times New Roman" w:hAnsi="Times New Roman" w:cs="Times New Roman"/>
        </w:rPr>
        <w:t xml:space="preserve">KPMG International. (n.d.). </w:t>
      </w:r>
      <w:r w:rsidRPr="00194DF7">
        <w:rPr>
          <w:rFonts w:ascii="Times New Roman" w:hAnsi="Times New Roman" w:cs="Times New Roman"/>
          <w:i/>
          <w:iCs/>
        </w:rPr>
        <w:t>Controls integration</w:t>
      </w:r>
      <w:r w:rsidRPr="00194DF7">
        <w:rPr>
          <w:rFonts w:ascii="Times New Roman" w:hAnsi="Times New Roman" w:cs="Times New Roman"/>
        </w:rPr>
        <w:t xml:space="preserve"> . Retrieved from </w:t>
      </w:r>
      <w:hyperlink r:id="rId10" w:tgtFrame="_blank" w:history="1">
        <w:r w:rsidRPr="00194DF7">
          <w:rPr>
            <w:rStyle w:val="Hyperlink"/>
            <w:rFonts w:ascii="Times New Roman" w:hAnsi="Times New Roman" w:cs="Times New Roman"/>
          </w:rPr>
          <w:t>https://kpmg.com/kpmg-us/content/dam/kpmg/pdf/2022/controls-integration.pdf</w:t>
        </w:r>
      </w:hyperlink>
      <w:r w:rsidRPr="00194DF7">
        <w:rPr>
          <w:rFonts w:ascii="Times New Roman" w:hAnsi="Times New Roman" w:cs="Times New Roman"/>
        </w:rPr>
        <w:t xml:space="preserve"> </w:t>
      </w:r>
    </w:p>
    <w:p w14:paraId="4E70F7F2" w14:textId="6F8C11D2" w:rsidR="00113A5E" w:rsidRPr="00194DF7" w:rsidRDefault="00113A5E" w:rsidP="00DF0EB3">
      <w:pPr>
        <w:numPr>
          <w:ilvl w:val="0"/>
          <w:numId w:val="8"/>
        </w:numPr>
        <w:spacing w:after="0" w:line="240" w:lineRule="auto"/>
        <w:rPr>
          <w:rFonts w:ascii="Times New Roman" w:hAnsi="Times New Roman" w:cs="Times New Roman"/>
        </w:rPr>
      </w:pPr>
      <w:r w:rsidRPr="00194DF7">
        <w:rPr>
          <w:rFonts w:ascii="Times New Roman" w:hAnsi="Times New Roman" w:cs="Times New Roman"/>
        </w:rPr>
        <w:t xml:space="preserve">KPMG International. (n.d.). </w:t>
      </w:r>
      <w:r w:rsidRPr="00194DF7">
        <w:rPr>
          <w:rFonts w:ascii="Times New Roman" w:hAnsi="Times New Roman" w:cs="Times New Roman"/>
          <w:i/>
          <w:iCs/>
        </w:rPr>
        <w:t>Governance and Organizational Design</w:t>
      </w:r>
      <w:r w:rsidRPr="00194DF7">
        <w:rPr>
          <w:rFonts w:ascii="Times New Roman" w:hAnsi="Times New Roman" w:cs="Times New Roman"/>
        </w:rPr>
        <w:t xml:space="preserve"> . Retrieved from </w:t>
      </w:r>
      <w:hyperlink r:id="rId11" w:tgtFrame="_blank" w:history="1">
        <w:r w:rsidRPr="00194DF7">
          <w:rPr>
            <w:rStyle w:val="Hyperlink"/>
            <w:rFonts w:ascii="Times New Roman" w:hAnsi="Times New Roman" w:cs="Times New Roman"/>
          </w:rPr>
          <w:t>https://kpmg.com/xx/en/what-we-do/industries/government/international-development-assistance-services-idas/governance-and-organizational-design.html</w:t>
        </w:r>
      </w:hyperlink>
      <w:r w:rsidRPr="00194DF7">
        <w:rPr>
          <w:rFonts w:ascii="Times New Roman" w:hAnsi="Times New Roman" w:cs="Times New Roman"/>
        </w:rPr>
        <w:t xml:space="preserve"> </w:t>
      </w:r>
    </w:p>
    <w:p w14:paraId="5EE4D155" w14:textId="3FF6EC05" w:rsidR="00113A5E" w:rsidRPr="00194DF7" w:rsidRDefault="00113A5E" w:rsidP="00DF0EB3">
      <w:pPr>
        <w:numPr>
          <w:ilvl w:val="0"/>
          <w:numId w:val="8"/>
        </w:numPr>
        <w:spacing w:after="0" w:line="240" w:lineRule="auto"/>
        <w:rPr>
          <w:rFonts w:ascii="Times New Roman" w:hAnsi="Times New Roman" w:cs="Times New Roman"/>
        </w:rPr>
      </w:pPr>
      <w:r w:rsidRPr="00194DF7">
        <w:rPr>
          <w:rFonts w:ascii="Times New Roman" w:hAnsi="Times New Roman" w:cs="Times New Roman"/>
        </w:rPr>
        <w:t xml:space="preserve">KPMG International. (n.d.). </w:t>
      </w:r>
      <w:r w:rsidRPr="00194DF7">
        <w:rPr>
          <w:rFonts w:ascii="Times New Roman" w:hAnsi="Times New Roman" w:cs="Times New Roman"/>
          <w:i/>
          <w:iCs/>
        </w:rPr>
        <w:t>Growing your business</w:t>
      </w:r>
      <w:r w:rsidRPr="00194DF7">
        <w:rPr>
          <w:rFonts w:ascii="Times New Roman" w:hAnsi="Times New Roman" w:cs="Times New Roman"/>
        </w:rPr>
        <w:t xml:space="preserve"> . Retrieved from </w:t>
      </w:r>
      <w:hyperlink r:id="rId12" w:tgtFrame="_blank" w:history="1">
        <w:r w:rsidRPr="00194DF7">
          <w:rPr>
            <w:rStyle w:val="Hyperlink"/>
            <w:rFonts w:ascii="Times New Roman" w:hAnsi="Times New Roman" w:cs="Times New Roman"/>
          </w:rPr>
          <w:t>https://kpmg.com/xx/en/what-we-do/industries/private-enterprise/growing-your-business.html</w:t>
        </w:r>
      </w:hyperlink>
      <w:r w:rsidRPr="00194DF7">
        <w:rPr>
          <w:rFonts w:ascii="Times New Roman" w:hAnsi="Times New Roman" w:cs="Times New Roman"/>
        </w:rPr>
        <w:t xml:space="preserve"> </w:t>
      </w:r>
    </w:p>
    <w:p w14:paraId="0B3FA298" w14:textId="0F380511" w:rsidR="00113A5E" w:rsidRPr="00194DF7" w:rsidRDefault="00113A5E" w:rsidP="00DF0EB3">
      <w:pPr>
        <w:numPr>
          <w:ilvl w:val="0"/>
          <w:numId w:val="8"/>
        </w:numPr>
        <w:spacing w:after="0" w:line="240" w:lineRule="auto"/>
        <w:rPr>
          <w:rFonts w:ascii="Times New Roman" w:hAnsi="Times New Roman" w:cs="Times New Roman"/>
        </w:rPr>
      </w:pPr>
      <w:r w:rsidRPr="00194DF7">
        <w:rPr>
          <w:rFonts w:ascii="Times New Roman" w:hAnsi="Times New Roman" w:cs="Times New Roman"/>
        </w:rPr>
        <w:t xml:space="preserve">KPMG International. (n.d.). </w:t>
      </w:r>
      <w:r w:rsidRPr="00194DF7">
        <w:rPr>
          <w:rFonts w:ascii="Times New Roman" w:hAnsi="Times New Roman" w:cs="Times New Roman"/>
          <w:i/>
          <w:iCs/>
        </w:rPr>
        <w:t>Integration &amp; Separation</w:t>
      </w:r>
      <w:r w:rsidRPr="00194DF7">
        <w:rPr>
          <w:rFonts w:ascii="Times New Roman" w:hAnsi="Times New Roman" w:cs="Times New Roman"/>
        </w:rPr>
        <w:t xml:space="preserve"> . Retrieved from </w:t>
      </w:r>
      <w:hyperlink r:id="rId13" w:tgtFrame="_blank" w:history="1">
        <w:r w:rsidRPr="00194DF7">
          <w:rPr>
            <w:rStyle w:val="Hyperlink"/>
            <w:rFonts w:ascii="Times New Roman" w:hAnsi="Times New Roman" w:cs="Times New Roman"/>
          </w:rPr>
          <w:t>https://kpmg.com/xx/en/what-we-do/services/advisory/deal-advisory/our-capabilities/integration-separation.html</w:t>
        </w:r>
      </w:hyperlink>
      <w:r w:rsidRPr="00194DF7">
        <w:rPr>
          <w:rFonts w:ascii="Times New Roman" w:hAnsi="Times New Roman" w:cs="Times New Roman"/>
        </w:rPr>
        <w:t xml:space="preserve"> </w:t>
      </w:r>
    </w:p>
    <w:p w14:paraId="234D463C" w14:textId="3BE7B1A7" w:rsidR="00113A5E" w:rsidRPr="00194DF7" w:rsidRDefault="00113A5E" w:rsidP="00DF0EB3">
      <w:pPr>
        <w:numPr>
          <w:ilvl w:val="0"/>
          <w:numId w:val="8"/>
        </w:numPr>
        <w:spacing w:after="0" w:line="240" w:lineRule="auto"/>
        <w:rPr>
          <w:rFonts w:ascii="Times New Roman" w:hAnsi="Times New Roman" w:cs="Times New Roman"/>
        </w:rPr>
      </w:pPr>
      <w:r w:rsidRPr="00194DF7">
        <w:rPr>
          <w:rFonts w:ascii="Times New Roman" w:hAnsi="Times New Roman" w:cs="Times New Roman"/>
        </w:rPr>
        <w:t xml:space="preserve">KPMG International. (n.d.). </w:t>
      </w:r>
      <w:r w:rsidRPr="00194DF7">
        <w:rPr>
          <w:rFonts w:ascii="Times New Roman" w:hAnsi="Times New Roman" w:cs="Times New Roman"/>
          <w:i/>
          <w:iCs/>
        </w:rPr>
        <w:t>KPMG Competencies</w:t>
      </w:r>
      <w:r w:rsidRPr="00194DF7">
        <w:rPr>
          <w:rFonts w:ascii="Times New Roman" w:hAnsi="Times New Roman" w:cs="Times New Roman"/>
        </w:rPr>
        <w:t xml:space="preserve"> . Retrieved from </w:t>
      </w:r>
      <w:hyperlink r:id="rId14" w:tgtFrame="_blank" w:history="1">
        <w:r w:rsidRPr="00194DF7">
          <w:rPr>
            <w:rStyle w:val="Hyperlink"/>
            <w:rFonts w:ascii="Times New Roman" w:hAnsi="Times New Roman" w:cs="Times New Roman"/>
          </w:rPr>
          <w:t>https://www.kpmgcareers.co.uk/experienced-professional/applying-to-kpmg/kpmg-competencies/</w:t>
        </w:r>
      </w:hyperlink>
      <w:r w:rsidRPr="00194DF7">
        <w:rPr>
          <w:rFonts w:ascii="Times New Roman" w:hAnsi="Times New Roman" w:cs="Times New Roman"/>
        </w:rPr>
        <w:t xml:space="preserve"> </w:t>
      </w:r>
    </w:p>
    <w:p w14:paraId="668C3B4B" w14:textId="3B273801" w:rsidR="00113A5E" w:rsidRPr="00194DF7" w:rsidRDefault="00113A5E" w:rsidP="00DF0EB3">
      <w:pPr>
        <w:numPr>
          <w:ilvl w:val="0"/>
          <w:numId w:val="8"/>
        </w:numPr>
        <w:spacing w:after="0" w:line="240" w:lineRule="auto"/>
        <w:rPr>
          <w:rFonts w:ascii="Times New Roman" w:hAnsi="Times New Roman" w:cs="Times New Roman"/>
        </w:rPr>
      </w:pPr>
      <w:r w:rsidRPr="00194DF7">
        <w:rPr>
          <w:rFonts w:ascii="Times New Roman" w:hAnsi="Times New Roman" w:cs="Times New Roman"/>
        </w:rPr>
        <w:t xml:space="preserve">KPMG International. (n.d.). </w:t>
      </w:r>
      <w:r w:rsidRPr="00194DF7">
        <w:rPr>
          <w:rFonts w:ascii="Times New Roman" w:hAnsi="Times New Roman" w:cs="Times New Roman"/>
          <w:i/>
          <w:iCs/>
        </w:rPr>
        <w:t>Organisation</w:t>
      </w:r>
      <w:r w:rsidRPr="00194DF7">
        <w:rPr>
          <w:rFonts w:ascii="Times New Roman" w:hAnsi="Times New Roman" w:cs="Times New Roman"/>
        </w:rPr>
        <w:t xml:space="preserve"> . Retrieved from </w:t>
      </w:r>
      <w:hyperlink r:id="rId15" w:tgtFrame="_blank" w:history="1">
        <w:r w:rsidRPr="00194DF7">
          <w:rPr>
            <w:rStyle w:val="Hyperlink"/>
            <w:rFonts w:ascii="Times New Roman" w:hAnsi="Times New Roman" w:cs="Times New Roman"/>
          </w:rPr>
          <w:t>https://kpmg.com/sg/en/about/overview/organisation.html</w:t>
        </w:r>
      </w:hyperlink>
      <w:r w:rsidRPr="00194DF7">
        <w:rPr>
          <w:rFonts w:ascii="Times New Roman" w:hAnsi="Times New Roman" w:cs="Times New Roman"/>
        </w:rPr>
        <w:t xml:space="preserve"> </w:t>
      </w:r>
    </w:p>
    <w:p w14:paraId="2CCBA1BC" w14:textId="0B18D2C1" w:rsidR="00113A5E" w:rsidRPr="00194DF7" w:rsidRDefault="00113A5E" w:rsidP="00DF0EB3">
      <w:pPr>
        <w:numPr>
          <w:ilvl w:val="0"/>
          <w:numId w:val="8"/>
        </w:numPr>
        <w:spacing w:after="0" w:line="240" w:lineRule="auto"/>
        <w:rPr>
          <w:rFonts w:ascii="Times New Roman" w:hAnsi="Times New Roman" w:cs="Times New Roman"/>
        </w:rPr>
      </w:pPr>
      <w:r w:rsidRPr="00194DF7">
        <w:rPr>
          <w:rFonts w:ascii="Times New Roman" w:hAnsi="Times New Roman" w:cs="Times New Roman"/>
        </w:rPr>
        <w:t xml:space="preserve">KPMG International. (n.d.). </w:t>
      </w:r>
      <w:r w:rsidRPr="00194DF7">
        <w:rPr>
          <w:rFonts w:ascii="Times New Roman" w:hAnsi="Times New Roman" w:cs="Times New Roman"/>
          <w:i/>
          <w:iCs/>
        </w:rPr>
        <w:t>Structure</w:t>
      </w:r>
      <w:r w:rsidRPr="00194DF7">
        <w:rPr>
          <w:rFonts w:ascii="Times New Roman" w:hAnsi="Times New Roman" w:cs="Times New Roman"/>
        </w:rPr>
        <w:t xml:space="preserve"> . Retrieved from </w:t>
      </w:r>
      <w:hyperlink r:id="rId16" w:tgtFrame="_blank" w:history="1">
        <w:r w:rsidRPr="00194DF7">
          <w:rPr>
            <w:rStyle w:val="Hyperlink"/>
            <w:rFonts w:ascii="Times New Roman" w:hAnsi="Times New Roman" w:cs="Times New Roman"/>
          </w:rPr>
          <w:t>https://kpmg.com/dp/en/home/about/governance/structure-new.html</w:t>
        </w:r>
      </w:hyperlink>
      <w:r w:rsidRPr="00194DF7">
        <w:rPr>
          <w:rFonts w:ascii="Times New Roman" w:hAnsi="Times New Roman" w:cs="Times New Roman"/>
        </w:rPr>
        <w:t xml:space="preserve"> </w:t>
      </w:r>
    </w:p>
    <w:p w14:paraId="2F87B3CE" w14:textId="7DCF75D5" w:rsidR="00113A5E" w:rsidRPr="00194DF7" w:rsidRDefault="00113A5E" w:rsidP="00DF0EB3">
      <w:pPr>
        <w:numPr>
          <w:ilvl w:val="0"/>
          <w:numId w:val="8"/>
        </w:numPr>
        <w:spacing w:after="0" w:line="240" w:lineRule="auto"/>
        <w:rPr>
          <w:rFonts w:ascii="Times New Roman" w:hAnsi="Times New Roman" w:cs="Times New Roman"/>
        </w:rPr>
      </w:pPr>
      <w:r w:rsidRPr="00194DF7">
        <w:rPr>
          <w:rFonts w:ascii="Times New Roman" w:hAnsi="Times New Roman" w:cs="Times New Roman"/>
        </w:rPr>
        <w:t xml:space="preserve">Sabre Corporation (2025). </w:t>
      </w:r>
      <w:r w:rsidRPr="00194DF7">
        <w:rPr>
          <w:rFonts w:ascii="Times New Roman" w:hAnsi="Times New Roman" w:cs="Times New Roman"/>
          <w:i/>
          <w:iCs/>
        </w:rPr>
        <w:t>Investor Relations and Company Overview</w:t>
      </w:r>
      <w:r w:rsidRPr="00194DF7">
        <w:rPr>
          <w:rFonts w:ascii="Times New Roman" w:hAnsi="Times New Roman" w:cs="Times New Roman"/>
        </w:rPr>
        <w:t xml:space="preserve">. Retrieved from </w:t>
      </w:r>
      <w:hyperlink r:id="rId17" w:tgtFrame="_blank" w:history="1">
        <w:r w:rsidRPr="00194DF7">
          <w:rPr>
            <w:rStyle w:val="Hyperlink"/>
            <w:rFonts w:ascii="Times New Roman" w:hAnsi="Times New Roman" w:cs="Times New Roman"/>
          </w:rPr>
          <w:t>https://www.sabre.com</w:t>
        </w:r>
      </w:hyperlink>
      <w:r w:rsidRPr="00194DF7">
        <w:rPr>
          <w:rFonts w:ascii="Times New Roman" w:hAnsi="Times New Roman" w:cs="Times New Roman"/>
        </w:rPr>
        <w:t xml:space="preserve"> </w:t>
      </w:r>
    </w:p>
    <w:p w14:paraId="0409A4DB" w14:textId="2FF58E2B" w:rsidR="00113A5E" w:rsidRPr="00194DF7" w:rsidRDefault="00113A5E" w:rsidP="00DF0EB3">
      <w:pPr>
        <w:numPr>
          <w:ilvl w:val="0"/>
          <w:numId w:val="8"/>
        </w:numPr>
        <w:spacing w:after="0" w:line="240" w:lineRule="auto"/>
        <w:rPr>
          <w:rFonts w:ascii="Times New Roman" w:hAnsi="Times New Roman" w:cs="Times New Roman"/>
        </w:rPr>
      </w:pPr>
      <w:r w:rsidRPr="00194DF7">
        <w:rPr>
          <w:rFonts w:ascii="Times New Roman" w:hAnsi="Times New Roman" w:cs="Times New Roman"/>
        </w:rPr>
        <w:t xml:space="preserve">Reuters (2025, August 12). </w:t>
      </w:r>
      <w:r w:rsidRPr="00194DF7">
        <w:rPr>
          <w:rFonts w:ascii="Times New Roman" w:hAnsi="Times New Roman" w:cs="Times New Roman"/>
          <w:i/>
          <w:iCs/>
        </w:rPr>
        <w:t>Sabre explores sale of SynXis hospitality division to cut debt</w:t>
      </w:r>
      <w:r w:rsidRPr="00194DF7">
        <w:rPr>
          <w:rFonts w:ascii="Times New Roman" w:hAnsi="Times New Roman" w:cs="Times New Roman"/>
        </w:rPr>
        <w:t>.</w:t>
      </w:r>
    </w:p>
    <w:p w14:paraId="01060FD3" w14:textId="6402F8AD" w:rsidR="00113A5E" w:rsidRPr="00194DF7" w:rsidRDefault="00113A5E" w:rsidP="00DF0EB3">
      <w:pPr>
        <w:numPr>
          <w:ilvl w:val="0"/>
          <w:numId w:val="8"/>
        </w:numPr>
        <w:spacing w:after="0" w:line="240" w:lineRule="auto"/>
        <w:rPr>
          <w:rFonts w:ascii="Times New Roman" w:hAnsi="Times New Roman" w:cs="Times New Roman"/>
        </w:rPr>
      </w:pPr>
      <w:r w:rsidRPr="00194DF7">
        <w:rPr>
          <w:rFonts w:ascii="Times New Roman" w:hAnsi="Times New Roman" w:cs="Times New Roman"/>
        </w:rPr>
        <w:t xml:space="preserve">Sabre Press </w:t>
      </w:r>
      <w:proofErr w:type="spellStart"/>
      <w:r w:rsidRPr="00194DF7">
        <w:rPr>
          <w:rFonts w:ascii="Times New Roman" w:hAnsi="Times New Roman" w:cs="Times New Roman"/>
        </w:rPr>
        <w:t>Center</w:t>
      </w:r>
      <w:proofErr w:type="spellEnd"/>
      <w:r w:rsidRPr="00194DF7">
        <w:rPr>
          <w:rFonts w:ascii="Times New Roman" w:hAnsi="Times New Roman" w:cs="Times New Roman"/>
        </w:rPr>
        <w:t xml:space="preserve"> (2025). </w:t>
      </w:r>
      <w:r w:rsidRPr="00194DF7">
        <w:rPr>
          <w:rFonts w:ascii="Times New Roman" w:hAnsi="Times New Roman" w:cs="Times New Roman"/>
          <w:i/>
          <w:iCs/>
        </w:rPr>
        <w:t>Introducing Sabre Mosaic: Next-Gen Retailing and Offer Management</w:t>
      </w:r>
      <w:r w:rsidRPr="00194DF7">
        <w:rPr>
          <w:rFonts w:ascii="Times New Roman" w:hAnsi="Times New Roman" w:cs="Times New Roman"/>
        </w:rPr>
        <w:t>.</w:t>
      </w:r>
    </w:p>
    <w:p w14:paraId="67A7968D" w14:textId="74535EB5" w:rsidR="00113A5E" w:rsidRPr="00194DF7" w:rsidRDefault="00113A5E" w:rsidP="00DF0EB3">
      <w:pPr>
        <w:numPr>
          <w:ilvl w:val="0"/>
          <w:numId w:val="8"/>
        </w:numPr>
        <w:spacing w:after="0" w:line="240" w:lineRule="auto"/>
        <w:rPr>
          <w:rFonts w:ascii="Times New Roman" w:hAnsi="Times New Roman" w:cs="Times New Roman"/>
        </w:rPr>
      </w:pPr>
      <w:r w:rsidRPr="00194DF7">
        <w:rPr>
          <w:rFonts w:ascii="Times New Roman" w:hAnsi="Times New Roman" w:cs="Times New Roman"/>
        </w:rPr>
        <w:t xml:space="preserve">Sabre Travel Solutions (2024). </w:t>
      </w:r>
      <w:r w:rsidRPr="00194DF7">
        <w:rPr>
          <w:rFonts w:ascii="Times New Roman" w:hAnsi="Times New Roman" w:cs="Times New Roman"/>
          <w:i/>
          <w:iCs/>
        </w:rPr>
        <w:t>Product Portfolio Overview</w:t>
      </w:r>
      <w:r w:rsidRPr="00194DF7">
        <w:rPr>
          <w:rFonts w:ascii="Times New Roman" w:hAnsi="Times New Roman" w:cs="Times New Roman"/>
        </w:rPr>
        <w:t>.</w:t>
      </w:r>
    </w:p>
    <w:sectPr w:rsidR="00113A5E" w:rsidRPr="00194DF7" w:rsidSect="00113A5E">
      <w:headerReference w:type="default" r:id="rId18"/>
      <w:pgSz w:w="11906" w:h="16838"/>
      <w:pgMar w:top="1191" w:right="1361" w:bottom="1191" w:left="136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1EC49" w14:textId="77777777" w:rsidR="00974F9F" w:rsidRDefault="00974F9F" w:rsidP="00C131C2">
      <w:pPr>
        <w:spacing w:after="0" w:line="240" w:lineRule="auto"/>
      </w:pPr>
      <w:r>
        <w:separator/>
      </w:r>
    </w:p>
  </w:endnote>
  <w:endnote w:type="continuationSeparator" w:id="0">
    <w:p w14:paraId="33BC9F31" w14:textId="77777777" w:rsidR="00974F9F" w:rsidRDefault="00974F9F" w:rsidP="00C131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B6BED" w14:textId="77777777" w:rsidR="00974F9F" w:rsidRDefault="00974F9F" w:rsidP="00C131C2">
      <w:pPr>
        <w:spacing w:after="0" w:line="240" w:lineRule="auto"/>
      </w:pPr>
      <w:r>
        <w:separator/>
      </w:r>
    </w:p>
  </w:footnote>
  <w:footnote w:type="continuationSeparator" w:id="0">
    <w:p w14:paraId="67F694DB" w14:textId="77777777" w:rsidR="00974F9F" w:rsidRDefault="00974F9F" w:rsidP="00C131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C2539" w14:textId="1B0626C2" w:rsidR="00C131C2" w:rsidRDefault="00C131C2" w:rsidP="00C131C2">
    <w:pPr>
      <w:pStyle w:val="Header"/>
      <w:jc w:val="right"/>
    </w:pPr>
    <w:r>
      <w:rPr>
        <w:noProof/>
      </w:rPr>
      <w:drawing>
        <wp:inline distT="0" distB="0" distL="0" distR="0" wp14:anchorId="5609AF13" wp14:editId="683FB013">
          <wp:extent cx="998725" cy="746760"/>
          <wp:effectExtent l="0" t="0" r="0" b="0"/>
          <wp:docPr id="1864012665" name="Picture 1" descr="A blue shield with a book and su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12665" name="Picture 1" descr="A blue shield with a book and sun&#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60146" cy="7926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B4DE7"/>
    <w:multiLevelType w:val="multilevel"/>
    <w:tmpl w:val="BC3C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A53A4"/>
    <w:multiLevelType w:val="multilevel"/>
    <w:tmpl w:val="079E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584D"/>
    <w:multiLevelType w:val="multilevel"/>
    <w:tmpl w:val="9AB2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F71A3"/>
    <w:multiLevelType w:val="multilevel"/>
    <w:tmpl w:val="B410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041C9"/>
    <w:multiLevelType w:val="multilevel"/>
    <w:tmpl w:val="1CC0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9397D"/>
    <w:multiLevelType w:val="multilevel"/>
    <w:tmpl w:val="8604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42845"/>
    <w:multiLevelType w:val="multilevel"/>
    <w:tmpl w:val="0D5E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70B76"/>
    <w:multiLevelType w:val="multilevel"/>
    <w:tmpl w:val="B802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F5E42"/>
    <w:multiLevelType w:val="multilevel"/>
    <w:tmpl w:val="BEF4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84B9E"/>
    <w:multiLevelType w:val="multilevel"/>
    <w:tmpl w:val="458C7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98321F"/>
    <w:multiLevelType w:val="multilevel"/>
    <w:tmpl w:val="0486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87A88"/>
    <w:multiLevelType w:val="multilevel"/>
    <w:tmpl w:val="04D2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E85E3E"/>
    <w:multiLevelType w:val="multilevel"/>
    <w:tmpl w:val="6E3C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5B6196"/>
    <w:multiLevelType w:val="multilevel"/>
    <w:tmpl w:val="E24A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740904"/>
    <w:multiLevelType w:val="multilevel"/>
    <w:tmpl w:val="026C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50424A"/>
    <w:multiLevelType w:val="multilevel"/>
    <w:tmpl w:val="BF10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1F2AB2"/>
    <w:multiLevelType w:val="multilevel"/>
    <w:tmpl w:val="415C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FD5EAB"/>
    <w:multiLevelType w:val="multilevel"/>
    <w:tmpl w:val="0368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E37CE9"/>
    <w:multiLevelType w:val="multilevel"/>
    <w:tmpl w:val="B282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559254">
    <w:abstractNumId w:val="13"/>
  </w:num>
  <w:num w:numId="2" w16cid:durableId="1974098048">
    <w:abstractNumId w:val="5"/>
  </w:num>
  <w:num w:numId="3" w16cid:durableId="2097089337">
    <w:abstractNumId w:val="3"/>
  </w:num>
  <w:num w:numId="4" w16cid:durableId="1013532251">
    <w:abstractNumId w:val="11"/>
  </w:num>
  <w:num w:numId="5" w16cid:durableId="1455564489">
    <w:abstractNumId w:val="2"/>
  </w:num>
  <w:num w:numId="6" w16cid:durableId="2056854896">
    <w:abstractNumId w:val="12"/>
  </w:num>
  <w:num w:numId="7" w16cid:durableId="2142915184">
    <w:abstractNumId w:val="18"/>
  </w:num>
  <w:num w:numId="8" w16cid:durableId="316349161">
    <w:abstractNumId w:val="17"/>
  </w:num>
  <w:num w:numId="9" w16cid:durableId="35273711">
    <w:abstractNumId w:val="9"/>
  </w:num>
  <w:num w:numId="10" w16cid:durableId="1777555438">
    <w:abstractNumId w:val="6"/>
  </w:num>
  <w:num w:numId="11" w16cid:durableId="32193929">
    <w:abstractNumId w:val="0"/>
  </w:num>
  <w:num w:numId="12" w16cid:durableId="1848133148">
    <w:abstractNumId w:val="14"/>
  </w:num>
  <w:num w:numId="13" w16cid:durableId="337196072">
    <w:abstractNumId w:val="15"/>
  </w:num>
  <w:num w:numId="14" w16cid:durableId="120156657">
    <w:abstractNumId w:val="4"/>
  </w:num>
  <w:num w:numId="15" w16cid:durableId="797258938">
    <w:abstractNumId w:val="1"/>
  </w:num>
  <w:num w:numId="16" w16cid:durableId="991446626">
    <w:abstractNumId w:val="8"/>
  </w:num>
  <w:num w:numId="17" w16cid:durableId="382562007">
    <w:abstractNumId w:val="10"/>
  </w:num>
  <w:num w:numId="18" w16cid:durableId="1189755781">
    <w:abstractNumId w:val="16"/>
  </w:num>
  <w:num w:numId="19" w16cid:durableId="8323806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A5E"/>
    <w:rsid w:val="0004106E"/>
    <w:rsid w:val="000E34BA"/>
    <w:rsid w:val="00113A5E"/>
    <w:rsid w:val="00194DF7"/>
    <w:rsid w:val="00236FB4"/>
    <w:rsid w:val="002500D1"/>
    <w:rsid w:val="00255128"/>
    <w:rsid w:val="002B0FBC"/>
    <w:rsid w:val="002D2DEE"/>
    <w:rsid w:val="002F4ECD"/>
    <w:rsid w:val="003E5571"/>
    <w:rsid w:val="0046187B"/>
    <w:rsid w:val="004A58AD"/>
    <w:rsid w:val="004D00C0"/>
    <w:rsid w:val="005B40DC"/>
    <w:rsid w:val="00615841"/>
    <w:rsid w:val="00675501"/>
    <w:rsid w:val="00791F82"/>
    <w:rsid w:val="007F6EC0"/>
    <w:rsid w:val="008D76EA"/>
    <w:rsid w:val="00974F9F"/>
    <w:rsid w:val="009E2210"/>
    <w:rsid w:val="00A47950"/>
    <w:rsid w:val="00A951DA"/>
    <w:rsid w:val="00B7284A"/>
    <w:rsid w:val="00BD4E63"/>
    <w:rsid w:val="00C131C2"/>
    <w:rsid w:val="00C7799B"/>
    <w:rsid w:val="00CF410B"/>
    <w:rsid w:val="00D126FA"/>
    <w:rsid w:val="00D70DC9"/>
    <w:rsid w:val="00D959BD"/>
    <w:rsid w:val="00DD37ED"/>
    <w:rsid w:val="00DD6839"/>
    <w:rsid w:val="00DF0EB3"/>
    <w:rsid w:val="00E91C6B"/>
    <w:rsid w:val="00F775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3A105"/>
  <w15:chartTrackingRefBased/>
  <w15:docId w15:val="{05B259EA-1FBB-4949-8B58-C57C3A346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A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A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A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A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A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A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A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A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A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A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A5E"/>
    <w:rPr>
      <w:rFonts w:eastAsiaTheme="majorEastAsia" w:cstheme="majorBidi"/>
      <w:color w:val="272727" w:themeColor="text1" w:themeTint="D8"/>
    </w:rPr>
  </w:style>
  <w:style w:type="paragraph" w:styleId="Title">
    <w:name w:val="Title"/>
    <w:basedOn w:val="Normal"/>
    <w:next w:val="Normal"/>
    <w:link w:val="TitleChar"/>
    <w:uiPriority w:val="10"/>
    <w:qFormat/>
    <w:rsid w:val="00113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A5E"/>
    <w:pPr>
      <w:spacing w:before="160"/>
      <w:jc w:val="center"/>
    </w:pPr>
    <w:rPr>
      <w:i/>
      <w:iCs/>
      <w:color w:val="404040" w:themeColor="text1" w:themeTint="BF"/>
    </w:rPr>
  </w:style>
  <w:style w:type="character" w:customStyle="1" w:styleId="QuoteChar">
    <w:name w:val="Quote Char"/>
    <w:basedOn w:val="DefaultParagraphFont"/>
    <w:link w:val="Quote"/>
    <w:uiPriority w:val="29"/>
    <w:rsid w:val="00113A5E"/>
    <w:rPr>
      <w:i/>
      <w:iCs/>
      <w:color w:val="404040" w:themeColor="text1" w:themeTint="BF"/>
    </w:rPr>
  </w:style>
  <w:style w:type="paragraph" w:styleId="ListParagraph">
    <w:name w:val="List Paragraph"/>
    <w:basedOn w:val="Normal"/>
    <w:uiPriority w:val="34"/>
    <w:qFormat/>
    <w:rsid w:val="00113A5E"/>
    <w:pPr>
      <w:ind w:left="720"/>
      <w:contextualSpacing/>
    </w:pPr>
  </w:style>
  <w:style w:type="character" w:styleId="IntenseEmphasis">
    <w:name w:val="Intense Emphasis"/>
    <w:basedOn w:val="DefaultParagraphFont"/>
    <w:uiPriority w:val="21"/>
    <w:qFormat/>
    <w:rsid w:val="00113A5E"/>
    <w:rPr>
      <w:i/>
      <w:iCs/>
      <w:color w:val="0F4761" w:themeColor="accent1" w:themeShade="BF"/>
    </w:rPr>
  </w:style>
  <w:style w:type="paragraph" w:styleId="IntenseQuote">
    <w:name w:val="Intense Quote"/>
    <w:basedOn w:val="Normal"/>
    <w:next w:val="Normal"/>
    <w:link w:val="IntenseQuoteChar"/>
    <w:uiPriority w:val="30"/>
    <w:qFormat/>
    <w:rsid w:val="00113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A5E"/>
    <w:rPr>
      <w:i/>
      <w:iCs/>
      <w:color w:val="0F4761" w:themeColor="accent1" w:themeShade="BF"/>
    </w:rPr>
  </w:style>
  <w:style w:type="character" w:styleId="IntenseReference">
    <w:name w:val="Intense Reference"/>
    <w:basedOn w:val="DefaultParagraphFont"/>
    <w:uiPriority w:val="32"/>
    <w:qFormat/>
    <w:rsid w:val="00113A5E"/>
    <w:rPr>
      <w:b/>
      <w:bCs/>
      <w:smallCaps/>
      <w:color w:val="0F4761" w:themeColor="accent1" w:themeShade="BF"/>
      <w:spacing w:val="5"/>
    </w:rPr>
  </w:style>
  <w:style w:type="character" w:styleId="Hyperlink">
    <w:name w:val="Hyperlink"/>
    <w:basedOn w:val="DefaultParagraphFont"/>
    <w:uiPriority w:val="99"/>
    <w:unhideWhenUsed/>
    <w:rsid w:val="00113A5E"/>
    <w:rPr>
      <w:color w:val="467886" w:themeColor="hyperlink"/>
      <w:u w:val="single"/>
    </w:rPr>
  </w:style>
  <w:style w:type="character" w:styleId="UnresolvedMention">
    <w:name w:val="Unresolved Mention"/>
    <w:basedOn w:val="DefaultParagraphFont"/>
    <w:uiPriority w:val="99"/>
    <w:semiHidden/>
    <w:unhideWhenUsed/>
    <w:rsid w:val="00113A5E"/>
    <w:rPr>
      <w:color w:val="605E5C"/>
      <w:shd w:val="clear" w:color="auto" w:fill="E1DFDD"/>
    </w:rPr>
  </w:style>
  <w:style w:type="paragraph" w:styleId="Header">
    <w:name w:val="header"/>
    <w:basedOn w:val="Normal"/>
    <w:link w:val="HeaderChar"/>
    <w:uiPriority w:val="99"/>
    <w:unhideWhenUsed/>
    <w:rsid w:val="00C131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1C2"/>
  </w:style>
  <w:style w:type="paragraph" w:styleId="Footer">
    <w:name w:val="footer"/>
    <w:basedOn w:val="Normal"/>
    <w:link w:val="FooterChar"/>
    <w:uiPriority w:val="99"/>
    <w:unhideWhenUsed/>
    <w:rsid w:val="00C131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1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urweekmba.com/kpmg-business-model/" TargetMode="External"/><Relationship Id="rId13" Type="http://schemas.openxmlformats.org/officeDocument/2006/relationships/hyperlink" Target="https://kpmg.com/xx/en/what-we-do/services/advisory/deal-advisory/our-capabilities/integration-separation.html"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casebasix.com/pages/kpmg-strategy-firm-overview" TargetMode="External"/><Relationship Id="rId12" Type="http://schemas.openxmlformats.org/officeDocument/2006/relationships/hyperlink" Target="https://kpmg.com/xx/en/what-we-do/industries/private-enterprise/growing-your-business.html" TargetMode="External"/><Relationship Id="rId17" Type="http://schemas.openxmlformats.org/officeDocument/2006/relationships/hyperlink" Target="https://www.sabre.com" TargetMode="External"/><Relationship Id="rId2" Type="http://schemas.openxmlformats.org/officeDocument/2006/relationships/styles" Target="styles.xml"/><Relationship Id="rId16" Type="http://schemas.openxmlformats.org/officeDocument/2006/relationships/hyperlink" Target="https://kpmg.com/dp/en/home/about/governance/structure-new.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kpmg.com/xx/en/what-we-do/industries/government/international-development-assistance-services-idas/governance-and-organizational-design.html" TargetMode="External"/><Relationship Id="rId5" Type="http://schemas.openxmlformats.org/officeDocument/2006/relationships/footnotes" Target="footnotes.xml"/><Relationship Id="rId15" Type="http://schemas.openxmlformats.org/officeDocument/2006/relationships/hyperlink" Target="https://kpmg.com/sg/en/about/overview/organisation.html" TargetMode="External"/><Relationship Id="rId10" Type="http://schemas.openxmlformats.org/officeDocument/2006/relationships/hyperlink" Target="https://kpmg.com/kpmg-us/content/dam/kpmg/pdf/2022/controls-integration.pd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kpmg.com/qa/en/services/advisory/management-consulting/business-strategy.html" TargetMode="External"/><Relationship Id="rId14" Type="http://schemas.openxmlformats.org/officeDocument/2006/relationships/hyperlink" Target="https://www.kpmgcareers.co.uk/experienced-professional/applying-to-kpmg/kpmg-competenci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TotalTime>
  <Pages>11</Pages>
  <Words>2702</Words>
  <Characters>20458</Characters>
  <Application>Microsoft Office Word</Application>
  <DocSecurity>0</DocSecurity>
  <Lines>730</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KURNAL</dc:creator>
  <cp:keywords/>
  <dc:description/>
  <cp:lastModifiedBy>ROHIT GHOSH</cp:lastModifiedBy>
  <cp:revision>26</cp:revision>
  <dcterms:created xsi:type="dcterms:W3CDTF">2025-11-03T18:50:00Z</dcterms:created>
  <dcterms:modified xsi:type="dcterms:W3CDTF">2025-11-06T14:29:00Z</dcterms:modified>
</cp:coreProperties>
</file>