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ListParagraph"/>
        <w:numPr>
          <w:ilvl w:val="0"/>
          <w:numId w:val="2"/>
        </w:numPr>
        <w:spacing w:after="0" w:before="0" w:line="240" w:lineRule="auto"/>
      </w:pPr>
      <w:r>
        <w:rPr>
          <w:rFonts w:ascii="Garamond" w:cs="Garamond" w:eastAsia="Garamond" w:hAnsi="Garamond"/>
          <w:b w:val="false"/>
          <w:bCs w:val="false"/>
          <w:sz w:val="22"/>
          <w:szCs w:val="22"/>
        </w:rPr>
        <w:t xml:space="preserve">Designed</w:t>
      </w:r>
      <w:r>
        <w:rPr>
          <w:rFonts w:ascii="Garamond" w:cs="Garamond" w:eastAsia="Garamond" w:hAnsi="Garamond"/>
          <w:b w:val="false"/>
          <w:bCs w:val="false"/>
          <w:sz w:val="22"/>
          <w:szCs w:val="22"/>
        </w:rPr>
        <w:t xml:space="preserve"> and </w:t>
      </w:r>
      <w:r>
        <w:rPr>
          <w:rFonts w:ascii="Garamond" w:cs="Garamond" w:eastAsia="Garamond" w:hAnsi="Garamond"/>
          <w:b/>
          <w:bCs/>
          <w:sz w:val="22"/>
          <w:szCs w:val="22"/>
        </w:rPr>
        <w:t xml:space="preserve">implemented</w:t>
      </w:r>
      <w:r>
        <w:rPr>
          <w:rFonts w:ascii="Garamond" w:cs="Garamond" w:eastAsia="Garamond" w:hAnsi="Garamond"/>
          <w:b w:val="false"/>
          <w:bCs w:val="false"/>
          <w:sz w:val="22"/>
          <w:szCs w:val="22"/>
        </w:rPr>
        <w:t xml:space="preserve"> a </w:t>
      </w:r>
      <w:r>
        <w:rPr>
          <w:rFonts w:ascii="Garamond" w:cs="Garamond" w:eastAsia="Garamond" w:hAnsi="Garamond"/>
          <w:b/>
          <w:bCs/>
          <w:sz w:val="22"/>
          <w:szCs w:val="22"/>
        </w:rPr>
        <w:t xml:space="preserve">scalable payment reconciliation framework</w:t>
      </w:r>
      <w:r>
        <w:rPr>
          <w:rFonts w:ascii="Garamond" w:cs="Garamond" w:eastAsia="Garamond" w:hAnsi="Garamond"/>
          <w:b w:val="false"/>
          <w:bCs w:val="false"/>
          <w:sz w:val="22"/>
          <w:szCs w:val="22"/>
        </w:rPr>
        <w:t xml:space="preserve"> integrating </w:t>
      </w:r>
      <w:r>
        <w:rPr>
          <w:rFonts w:ascii="Garamond" w:cs="Garamond" w:eastAsia="Garamond" w:hAnsi="Garamond"/>
          <w:b/>
          <w:bCs/>
          <w:sz w:val="22"/>
          <w:szCs w:val="22"/>
        </w:rPr>
        <w:t xml:space="preserve">real-time transaction monitoring</w:t>
      </w:r>
      <w:r>
        <w:rPr>
          <w:rFonts w:ascii="Garamond" w:cs="Garamond" w:eastAsia="Garamond" w:hAnsi="Garamond"/>
          <w:b w:val="false"/>
          <w:bCs w:val="false"/>
          <w:sz w:val="22"/>
          <w:szCs w:val="22"/>
        </w:rPr>
        <w:t xml:space="preserve">, </w:t>
      </w:r>
      <w:r>
        <w:rPr>
          <w:rFonts w:ascii="Garamond" w:cs="Garamond" w:eastAsia="Garamond" w:hAnsi="Garamond"/>
          <w:b/>
          <w:bCs/>
          <w:sz w:val="22"/>
          <w:szCs w:val="22"/>
        </w:rPr>
        <w:t xml:space="preserve">automated error-detection pipelines</w:t>
      </w:r>
      <w:r>
        <w:rPr>
          <w:rFonts w:ascii="Garamond" w:cs="Garamond" w:eastAsia="Garamond" w:hAnsi="Garamond"/>
          <w:b w:val="false"/>
          <w:bCs w:val="false"/>
          <w:sz w:val="22"/>
          <w:szCs w:val="22"/>
        </w:rPr>
        <w:t xml:space="preserve">, and </w:t>
      </w:r>
      <w:r>
        <w:rPr>
          <w:rFonts w:ascii="Garamond" w:cs="Garamond" w:eastAsia="Garamond" w:hAnsi="Garamond"/>
          <w:b/>
          <w:bCs/>
          <w:sz w:val="22"/>
          <w:szCs w:val="22"/>
        </w:rPr>
        <w:t xml:space="preserve">multi-gateway settlement workflows</w:t>
      </w:r>
      <w:r>
        <w:rPr>
          <w:rFonts w:ascii="Garamond" w:cs="Garamond" w:eastAsia="Garamond" w:hAnsi="Garamond"/>
          <w:b w:val="false"/>
          <w:bCs w:val="false"/>
          <w:sz w:val="22"/>
          <w:szCs w:val="22"/>
        </w:rPr>
        <w:t xml:space="preserve"> to streamline end-to-end </w:t>
      </w:r>
      <w:r>
        <w:rPr>
          <w:rFonts w:ascii="Garamond" w:cs="Garamond" w:eastAsia="Garamond" w:hAnsi="Garamond"/>
          <w:b/>
          <w:bCs/>
          <w:sz w:val="22"/>
          <w:szCs w:val="22"/>
        </w:rPr>
        <w:t xml:space="preserve">payment processing operations</w:t>
      </w:r>
      <w:r>
        <w:rPr>
          <w:rFonts w:ascii="Garamond" w:cs="Garamond" w:eastAsia="Garamond" w:hAnsi="Garamond"/>
          <w:b w:val="false"/>
          <w:bCs w:val="false"/>
          <w:sz w:val="22"/>
          <w:szCs w:val="22"/>
        </w:rPr>
        <w:t xml:space="preserve">, reducing reconciliation discrepancies and improving financial accuracy, reporting consistency, and operational transparency across cross-functional business units.</w:t>
      </w:r>
    </w:p>
    <w:p>
      <w:pPr>
        <w:pStyle w:val="ListParagraph"/>
        <w:numPr>
          <w:ilvl w:val="0"/>
          <w:numId w:val="2"/>
        </w:numPr>
        <w:spacing w:after="0" w:before="0" w:line="240" w:lineRule="auto"/>
      </w:pPr>
      <w:r>
        <w:rPr>
          <w:rFonts w:ascii="Garamond" w:cs="Garamond" w:eastAsia="Garamond" w:hAnsi="Garamond"/>
          <w:b w:val="false"/>
          <w:bCs w:val="false"/>
          <w:sz w:val="22"/>
          <w:szCs w:val="22"/>
        </w:rPr>
        <w:t xml:space="preserve">Developed</w:t>
      </w:r>
      <w:r>
        <w:rPr>
          <w:rFonts w:ascii="Garamond" w:cs="Garamond" w:eastAsia="Garamond" w:hAnsi="Garamond"/>
          <w:b w:val="false"/>
          <w:bCs w:val="false"/>
          <w:sz w:val="22"/>
          <w:szCs w:val="22"/>
        </w:rPr>
        <w:t xml:space="preserve">, </w:t>
      </w:r>
      <w:r>
        <w:rPr>
          <w:rFonts w:ascii="Garamond" w:cs="Garamond" w:eastAsia="Garamond" w:hAnsi="Garamond"/>
          <w:b/>
          <w:bCs/>
          <w:sz w:val="22"/>
          <w:szCs w:val="22"/>
        </w:rPr>
        <w:t xml:space="preserve">documented</w:t>
      </w:r>
      <w:r>
        <w:rPr>
          <w:rFonts w:ascii="Garamond" w:cs="Garamond" w:eastAsia="Garamond" w:hAnsi="Garamond"/>
          <w:b w:val="false"/>
          <w:bCs w:val="false"/>
          <w:sz w:val="22"/>
          <w:szCs w:val="22"/>
        </w:rPr>
        <w:t xml:space="preserve">, and </w:t>
      </w:r>
      <w:r>
        <w:rPr>
          <w:rFonts w:ascii="Garamond" w:cs="Garamond" w:eastAsia="Garamond" w:hAnsi="Garamond"/>
          <w:b/>
          <w:bCs/>
          <w:sz w:val="22"/>
          <w:szCs w:val="22"/>
        </w:rPr>
        <w:t xml:space="preserve">coordinated</w:t>
      </w:r>
      <w:r>
        <w:rPr>
          <w:rFonts w:ascii="Garamond" w:cs="Garamond" w:eastAsia="Garamond" w:hAnsi="Garamond"/>
          <w:b w:val="false"/>
          <w:bCs w:val="false"/>
          <w:sz w:val="22"/>
          <w:szCs w:val="22"/>
        </w:rPr>
        <w:t xml:space="preserve"> end-to-end </w:t>
      </w:r>
      <w:r>
        <w:rPr>
          <w:rFonts w:ascii="Garamond" w:cs="Garamond" w:eastAsia="Garamond" w:hAnsi="Garamond"/>
          <w:b/>
          <w:bCs/>
          <w:sz w:val="22"/>
          <w:szCs w:val="22"/>
        </w:rPr>
        <w:t xml:space="preserve">merchant onboarding workflows</w:t>
      </w:r>
      <w:r>
        <w:rPr>
          <w:rFonts w:ascii="Garamond" w:cs="Garamond" w:eastAsia="Garamond" w:hAnsi="Garamond"/>
          <w:b w:val="false"/>
          <w:bCs w:val="false"/>
          <w:sz w:val="22"/>
          <w:szCs w:val="22"/>
        </w:rPr>
        <w:t xml:space="preserve"> and </w:t>
      </w:r>
      <w:r>
        <w:rPr>
          <w:rFonts w:ascii="Garamond" w:cs="Garamond" w:eastAsia="Garamond" w:hAnsi="Garamond"/>
          <w:b/>
          <w:bCs/>
          <w:sz w:val="22"/>
          <w:szCs w:val="22"/>
        </w:rPr>
        <w:t xml:space="preserve">API integration SOPs</w:t>
      </w:r>
      <w:r>
        <w:rPr>
          <w:rFonts w:ascii="Garamond" w:cs="Garamond" w:eastAsia="Garamond" w:hAnsi="Garamond"/>
          <w:b w:val="false"/>
          <w:bCs w:val="false"/>
          <w:sz w:val="22"/>
          <w:szCs w:val="22"/>
        </w:rPr>
        <w:t xml:space="preserve">, orchestrating </w:t>
      </w:r>
      <w:r>
        <w:rPr>
          <w:rFonts w:ascii="Garamond" w:cs="Garamond" w:eastAsia="Garamond" w:hAnsi="Garamond"/>
          <w:b/>
          <w:bCs/>
          <w:sz w:val="22"/>
          <w:szCs w:val="22"/>
        </w:rPr>
        <w:t xml:space="preserve">data validation</w:t>
      </w:r>
      <w:r>
        <w:rPr>
          <w:rFonts w:ascii="Garamond" w:cs="Garamond" w:eastAsia="Garamond" w:hAnsi="Garamond"/>
          <w:b w:val="false"/>
          <w:bCs w:val="false"/>
          <w:sz w:val="22"/>
          <w:szCs w:val="22"/>
        </w:rPr>
        <w:t xml:space="preserve">, </w:t>
      </w:r>
      <w:r>
        <w:rPr>
          <w:rFonts w:ascii="Garamond" w:cs="Garamond" w:eastAsia="Garamond" w:hAnsi="Garamond"/>
          <w:b/>
          <w:bCs/>
          <w:sz w:val="22"/>
          <w:szCs w:val="22"/>
        </w:rPr>
        <w:t xml:space="preserve">compliance verification</w:t>
      </w:r>
      <w:r>
        <w:rPr>
          <w:rFonts w:ascii="Garamond" w:cs="Garamond" w:eastAsia="Garamond" w:hAnsi="Garamond"/>
          <w:b w:val="false"/>
          <w:bCs w:val="false"/>
          <w:sz w:val="22"/>
          <w:szCs w:val="22"/>
        </w:rPr>
        <w:t xml:space="preserve">, and </w:t>
      </w:r>
      <w:r>
        <w:rPr>
          <w:rFonts w:ascii="Garamond" w:cs="Garamond" w:eastAsia="Garamond" w:hAnsi="Garamond"/>
          <w:b/>
          <w:bCs/>
          <w:sz w:val="22"/>
          <w:szCs w:val="22"/>
        </w:rPr>
        <w:t xml:space="preserve">error-handling mechanisms</w:t>
      </w:r>
      <w:r>
        <w:rPr>
          <w:rFonts w:ascii="Garamond" w:cs="Garamond" w:eastAsia="Garamond" w:hAnsi="Garamond"/>
          <w:b w:val="false"/>
          <w:bCs w:val="false"/>
          <w:sz w:val="22"/>
          <w:szCs w:val="22"/>
        </w:rPr>
        <w:t xml:space="preserve"> to strengthen </w:t>
      </w:r>
      <w:r>
        <w:rPr>
          <w:rFonts w:ascii="Garamond" w:cs="Garamond" w:eastAsia="Garamond" w:hAnsi="Garamond"/>
          <w:b/>
          <w:bCs/>
          <w:sz w:val="22"/>
          <w:szCs w:val="22"/>
        </w:rPr>
        <w:t xml:space="preserve">transaction reliability</w:t>
      </w:r>
      <w:r>
        <w:rPr>
          <w:rFonts w:ascii="Garamond" w:cs="Garamond" w:eastAsia="Garamond" w:hAnsi="Garamond"/>
          <w:b w:val="false"/>
          <w:bCs w:val="false"/>
          <w:sz w:val="22"/>
          <w:szCs w:val="22"/>
        </w:rPr>
        <w:t xml:space="preserve"> and optimize operational coordination and process alignment across product, engineering, finance, and business stakeholder teams.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■"/>
      <w:lvlJc w:val="left"/>
      <w:pPr>
        <w:ind w:left="360" w:hanging="360"/>
      </w:pPr>
      <w:rPr>
        <w:rFonts w:ascii="Garamond" w:cs="Garamond" w:eastAsia="Garamond" w:hAnsi="Garamond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2026-05-07T06:05:02.310Z</dcterms:created>
  <dcterms:modified xsi:type="dcterms:W3CDTF">2026-05-07T06:05:02.310Z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