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D3557"/>
          <w:sz w:val="48"/>
        </w:rPr>
        <w:t>Hyperlocal Partnership Network</w:t>
      </w:r>
    </w:p>
    <w:p>
      <w:pPr>
        <w:jc w:val="center"/>
      </w:pPr>
      <w:r>
        <w:rPr>
          <w:rFonts w:ascii="Aptos" w:hAnsi="Aptos"/>
          <w:color w:val="457B9D"/>
          <w:sz w:val="26"/>
        </w:rPr>
        <w:t>Master Product Requirements Document + Technical Build Specification</w:t>
      </w:r>
    </w:p>
    <w:p>
      <w:pPr>
        <w:jc w:val="center"/>
      </w:pPr>
      <w:r>
        <w:rPr>
          <w:rFonts w:ascii="Aptos" w:hAnsi="Aptos"/>
          <w:color w:val="5A5A5A"/>
          <w:sz w:val="21"/>
        </w:rPr>
        <w:t>Prepared for stakeholder alignment and Claude Code implementation</w:t>
      </w:r>
    </w:p>
    <w:p/>
    <w:tbl>
      <w:tblPr>
        <w:tblW w:type="auto" w:w="0"/>
        <w:jc w:val="center"/>
        <w:tblLayout w:type="fixed"/>
        <w:tblLook w:firstColumn="1" w:firstRow="1" w:lastColumn="0" w:lastRow="0" w:noHBand="0" w:noVBand="1" w:val="04A0"/>
      </w:tblPr>
      <w:tblGrid>
        <w:gridCol w:w="4968"/>
        <w:gridCol w:w="4968"/>
      </w:tblGrid>
      <w:tr>
        <w:tc>
          <w:tcPr>
            <w:tcW w:type="dxa" w:w="2736"/>
            <w:shd w:fill="EAF1FB"/>
            <w:vAlign w:val="center"/>
          </w:tcPr>
          <w:p>
            <w:pPr>
              <w:jc w:val="left"/>
            </w:pPr>
            <w:r/>
            <w:r>
              <w:rPr>
                <w:rFonts w:ascii="Aptos" w:hAnsi="Aptos"/>
                <w:b/>
                <w:color w:val="1D3557"/>
                <w:sz w:val="20"/>
              </w:rPr>
              <w:t>Document purpose</w:t>
            </w:r>
          </w:p>
        </w:tc>
        <w:tc>
          <w:tcPr>
            <w:tcW w:type="dxa" w:w="6912"/>
            <w:shd w:fill="F9FBFD"/>
            <w:vAlign w:val="center"/>
          </w:tcPr>
          <w:p>
            <w:pPr>
              <w:jc w:val="left"/>
            </w:pPr>
            <w:r/>
            <w:r>
              <w:rPr>
                <w:rFonts w:ascii="Aptos" w:hAnsi="Aptos"/>
                <w:b w:val="0"/>
                <w:sz w:val="20"/>
              </w:rPr>
              <w:t>Single comprehensive source for business note, PRD, workflows, data model, rules engine, analytics, rollout logic, and technical implementation guidance.</w:t>
            </w:r>
          </w:p>
        </w:tc>
      </w:tr>
      <w:tr>
        <w:tc>
          <w:tcPr>
            <w:tcW w:type="dxa" w:w="2736"/>
            <w:shd w:fill="EAF1FB"/>
            <w:vAlign w:val="center"/>
          </w:tcPr>
          <w:p>
            <w:pPr>
              <w:jc w:val="left"/>
            </w:pPr>
            <w:r/>
            <w:r>
              <w:rPr>
                <w:rFonts w:ascii="Aptos" w:hAnsi="Aptos"/>
                <w:b/>
                <w:color w:val="1D3557"/>
                <w:sz w:val="20"/>
              </w:rPr>
              <w:t>Primary build lens</w:t>
            </w:r>
          </w:p>
        </w:tc>
        <w:tc>
          <w:tcPr>
            <w:tcW w:type="dxa" w:w="6912"/>
            <w:shd w:fill="F9FBFD"/>
            <w:vAlign w:val="center"/>
          </w:tcPr>
          <w:p>
            <w:pPr>
              <w:jc w:val="left"/>
            </w:pPr>
            <w:r/>
            <w:r>
              <w:rPr>
                <w:rFonts w:ascii="Aptos" w:hAnsi="Aptos"/>
                <w:b w:val="0"/>
                <w:sz w:val="20"/>
              </w:rPr>
              <w:t>Build broad capability once; launch with a narrow, easy-to-use utility layer.</w:t>
            </w:r>
          </w:p>
        </w:tc>
      </w:tr>
      <w:tr>
        <w:tc>
          <w:tcPr>
            <w:tcW w:type="dxa" w:w="2736"/>
            <w:shd w:fill="EAF1FB"/>
            <w:vAlign w:val="center"/>
          </w:tcPr>
          <w:p>
            <w:pPr>
              <w:jc w:val="left"/>
            </w:pPr>
            <w:r/>
            <w:r>
              <w:rPr>
                <w:rFonts w:ascii="Aptos" w:hAnsi="Aptos"/>
                <w:b/>
                <w:color w:val="1D3557"/>
                <w:sz w:val="20"/>
              </w:rPr>
              <w:t>Core business framing</w:t>
            </w:r>
          </w:p>
        </w:tc>
        <w:tc>
          <w:tcPr>
            <w:tcW w:type="dxa" w:w="6912"/>
            <w:shd w:fill="F9FBFD"/>
            <w:vAlign w:val="center"/>
          </w:tcPr>
          <w:p>
            <w:pPr>
              <w:jc w:val="left"/>
            </w:pPr>
            <w:r/>
            <w:r>
              <w:rPr>
                <w:rFonts w:ascii="Aptos" w:hAnsi="Aptos"/>
                <w:b w:val="0"/>
                <w:sz w:val="20"/>
              </w:rPr>
              <w:t>Turn passive discounting into controlled, measurable, partner-led customer acquisition.</w:t>
            </w:r>
          </w:p>
        </w:tc>
      </w:tr>
      <w:tr>
        <w:tc>
          <w:tcPr>
            <w:tcW w:type="dxa" w:w="2736"/>
            <w:shd w:fill="EAF1FB"/>
            <w:vAlign w:val="center"/>
          </w:tcPr>
          <w:p>
            <w:pPr>
              <w:jc w:val="left"/>
            </w:pPr>
            <w:r/>
            <w:r>
              <w:rPr>
                <w:rFonts w:ascii="Aptos" w:hAnsi="Aptos"/>
                <w:b/>
                <w:color w:val="1D3557"/>
                <w:sz w:val="20"/>
              </w:rPr>
              <w:t>Recommended use</w:t>
            </w:r>
          </w:p>
        </w:tc>
        <w:tc>
          <w:tcPr>
            <w:tcW w:type="dxa" w:w="6912"/>
            <w:shd w:fill="F9FBFD"/>
            <w:vAlign w:val="center"/>
          </w:tcPr>
          <w:p>
            <w:pPr>
              <w:jc w:val="left"/>
            </w:pPr>
            <w:r/>
            <w:r>
              <w:rPr>
                <w:rFonts w:ascii="Aptos" w:hAnsi="Aptos"/>
                <w:b w:val="0"/>
                <w:sz w:val="20"/>
              </w:rPr>
              <w:t>Share with product, business, operations, design, engineering, and Claude Code for implementation sequencing.</w:t>
            </w:r>
          </w:p>
        </w:tc>
      </w:tr>
    </w:tbl>
    <w:p/>
    <w:p>
      <w:pPr>
        <w:pStyle w:val="Callout"/>
        <w:jc w:val="center"/>
      </w:pPr>
      <w:r>
        <w:t>Working principle: backend sophistication, frontend simplicity.</w:t>
      </w:r>
    </w:p>
    <w:p>
      <w:r>
        <w:br w:type="page"/>
      </w:r>
    </w:p>
    <w:p>
      <w:pPr>
        <w:pStyle w:val="Heading1"/>
      </w:pPr>
      <w:r>
        <w:t>Document Index</w:t>
      </w:r>
    </w:p>
    <w:p>
      <w:pPr>
        <w:ind w:left="288" w:hanging="259"/>
      </w:pPr>
      <w:r>
        <w:rPr>
          <w:b/>
        </w:rPr>
        <w:t xml:space="preserve">• </w:t>
      </w:r>
      <w:r>
        <w:t>1. Executive Summary</w:t>
      </w:r>
    </w:p>
    <w:p>
      <w:pPr>
        <w:ind w:left="288" w:hanging="259"/>
      </w:pPr>
      <w:r>
        <w:rPr>
          <w:b/>
        </w:rPr>
        <w:t xml:space="preserve">• </w:t>
      </w:r>
      <w:r>
        <w:t>2. Business Note and Strategic Framing</w:t>
      </w:r>
    </w:p>
    <w:p>
      <w:pPr>
        <w:ind w:left="288" w:hanging="259"/>
      </w:pPr>
      <w:r>
        <w:rPr>
          <w:b/>
        </w:rPr>
        <w:t xml:space="preserve">• </w:t>
      </w:r>
      <w:r>
        <w:t>3. Product Vision, Scope, and Success Principles</w:t>
      </w:r>
    </w:p>
    <w:p>
      <w:pPr>
        <w:ind w:left="288" w:hanging="259"/>
      </w:pPr>
      <w:r>
        <w:rPr>
          <w:b/>
        </w:rPr>
        <w:t xml:space="preserve">• </w:t>
      </w:r>
      <w:r>
        <w:t>4. User Types and Stakeholder Roles</w:t>
      </w:r>
    </w:p>
    <w:p>
      <w:pPr>
        <w:ind w:left="288" w:hanging="259"/>
      </w:pPr>
      <w:r>
        <w:rPr>
          <w:b/>
        </w:rPr>
        <w:t xml:space="preserve">• </w:t>
      </w:r>
      <w:r>
        <w:t>5. Core Product Modules</w:t>
      </w:r>
    </w:p>
    <w:p>
      <w:pPr>
        <w:ind w:left="288" w:hanging="259"/>
      </w:pPr>
      <w:r>
        <w:rPr>
          <w:b/>
        </w:rPr>
        <w:t xml:space="preserve">• </w:t>
      </w:r>
      <w:r>
        <w:t>6. Customer Journey and Zero-Process Activation Layer</w:t>
      </w:r>
    </w:p>
    <w:p>
      <w:pPr>
        <w:ind w:left="288" w:hanging="259"/>
      </w:pPr>
      <w:r>
        <w:rPr>
          <w:b/>
        </w:rPr>
        <w:t xml:space="preserve">• </w:t>
      </w:r>
      <w:r>
        <w:t>7. Partnership Lifecycle Workflow</w:t>
      </w:r>
    </w:p>
    <w:p>
      <w:pPr>
        <w:ind w:left="288" w:hanging="259"/>
      </w:pPr>
      <w:r>
        <w:rPr>
          <w:b/>
        </w:rPr>
        <w:t xml:space="preserve">• </w:t>
      </w:r>
      <w:r>
        <w:t>8. Rules Engine and Controlled Discount Bucket Logic</w:t>
      </w:r>
    </w:p>
    <w:p>
      <w:pPr>
        <w:ind w:left="288" w:hanging="259"/>
      </w:pPr>
      <w:r>
        <w:rPr>
          <w:b/>
        </w:rPr>
        <w:t xml:space="preserve">• </w:t>
      </w:r>
      <w:r>
        <w:t>9. Customer-Type Logic: New vs Existing vs Reactivated</w:t>
      </w:r>
    </w:p>
    <w:p>
      <w:pPr>
        <w:ind w:left="288" w:hanging="259"/>
      </w:pPr>
      <w:r>
        <w:rPr>
          <w:b/>
        </w:rPr>
        <w:t xml:space="preserve">• </w:t>
      </w:r>
      <w:r>
        <w:t>10. Attribution, Retention, and ROI Methodology</w:t>
      </w:r>
    </w:p>
    <w:p>
      <w:pPr>
        <w:ind w:left="288" w:hanging="259"/>
      </w:pPr>
      <w:r>
        <w:rPr>
          <w:b/>
        </w:rPr>
        <w:t xml:space="preserve">• </w:t>
      </w:r>
      <w:r>
        <w:t>11. Analytics, Dashboards, and North-Star Metrics</w:t>
      </w:r>
    </w:p>
    <w:p>
      <w:pPr>
        <w:ind w:left="288" w:hanging="259"/>
      </w:pPr>
      <w:r>
        <w:rPr>
          <w:b/>
        </w:rPr>
        <w:t xml:space="preserve">• </w:t>
      </w:r>
      <w:r>
        <w:t>12. AI vs Non-AI Product Design Approach</w:t>
      </w:r>
    </w:p>
    <w:p>
      <w:pPr>
        <w:ind w:left="288" w:hanging="259"/>
      </w:pPr>
      <w:r>
        <w:rPr>
          <w:b/>
        </w:rPr>
        <w:t xml:space="preserve">• </w:t>
      </w:r>
      <w:r>
        <w:t>13. Technical Architecture</w:t>
      </w:r>
    </w:p>
    <w:p>
      <w:pPr>
        <w:ind w:left="288" w:hanging="259"/>
      </w:pPr>
      <w:r>
        <w:rPr>
          <w:b/>
        </w:rPr>
        <w:t xml:space="preserve">• </w:t>
      </w:r>
      <w:r>
        <w:t>14. Data Model and Entity Definitions</w:t>
      </w:r>
    </w:p>
    <w:p>
      <w:pPr>
        <w:ind w:left="288" w:hanging="259"/>
      </w:pPr>
      <w:r>
        <w:rPr>
          <w:b/>
        </w:rPr>
        <w:t xml:space="preserve">• </w:t>
      </w:r>
      <w:r>
        <w:t>15. API, Event, and State-Transition Design</w:t>
      </w:r>
    </w:p>
    <w:p>
      <w:pPr>
        <w:ind w:left="288" w:hanging="259"/>
      </w:pPr>
      <w:r>
        <w:rPr>
          <w:b/>
        </w:rPr>
        <w:t xml:space="preserve">• </w:t>
      </w:r>
      <w:r>
        <w:t>16. Security, Privacy, Fraud, and Audit Controls</w:t>
      </w:r>
    </w:p>
    <w:p>
      <w:pPr>
        <w:ind w:left="288" w:hanging="259"/>
      </w:pPr>
      <w:r>
        <w:rPr>
          <w:b/>
        </w:rPr>
        <w:t xml:space="preserve">• </w:t>
      </w:r>
      <w:r>
        <w:t>17. Operational Workflows, Staff Continuity, and Support</w:t>
      </w:r>
    </w:p>
    <w:p>
      <w:pPr>
        <w:ind w:left="288" w:hanging="259"/>
      </w:pPr>
      <w:r>
        <w:rPr>
          <w:b/>
        </w:rPr>
        <w:t xml:space="preserve">• </w:t>
      </w:r>
      <w:r>
        <w:t>18. Phasing, Rollout Strategy, and Delivery Sequence</w:t>
      </w:r>
    </w:p>
    <w:p>
      <w:pPr>
        <w:ind w:left="288" w:hanging="259"/>
      </w:pPr>
      <w:r>
        <w:rPr>
          <w:b/>
        </w:rPr>
        <w:t xml:space="preserve">• </w:t>
      </w:r>
      <w:r>
        <w:t>19. Claude Code Build Instructions</w:t>
      </w:r>
    </w:p>
    <w:p>
      <w:pPr>
        <w:ind w:left="288" w:hanging="259"/>
      </w:pPr>
      <w:r>
        <w:rPr>
          <w:b/>
        </w:rPr>
        <w:t xml:space="preserve">• </w:t>
      </w:r>
      <w:r>
        <w:t>20. Appendix: Templates, Suggested Defaults, Edge Cases, and Open Decisions</w:t>
      </w:r>
    </w:p>
    <w:p>
      <w:r>
        <w:br w:type="page"/>
      </w:r>
    </w:p>
    <w:p>
      <w:pPr>
        <w:pStyle w:val="Heading1"/>
      </w:pPr>
      <w:r>
        <w:t>1. Executive Summary</w:t>
      </w:r>
    </w:p>
    <w:p>
      <w:pPr/>
      <w:r>
        <w:t>The Hyperlocal Partnership Network is a new eWards capability that helps retailers create structured outlet-level or selectively expanded local tie-ups with nearby, complementary, or strategically relevant merchants. The product is designed to convert part of a merchant’s existing discount budget, offer budget, or loyalty utility into a controlled local customer acquisition engine.</w:t>
      </w:r>
    </w:p>
    <w:p>
      <w:pPr/>
      <w:r>
        <w:t>The product should not be sold or experienced as a complex coalition loyalty platform. It should be positioned as a merchant growth layer that makes local tie-ups easy to activate, easy to execute at outlet level, and easy to measure financially.</w:t>
      </w:r>
    </w:p>
    <w:p>
      <w:pPr/>
      <w:r>
        <w:t>The most important strategic design principle is this: build broad capability once if engineering convenience allows, but keep the launch utility narrow and simple. The merchant should experience only the smallest set of actions needed to create and run a tie-up successfully.</w:t>
      </w:r>
    </w:p>
    <w:p>
      <w:pPr>
        <w:pStyle w:val="Heading2"/>
      </w:pPr>
      <w:r>
        <w:t>Executive summary pillars</w:t>
      </w:r>
    </w:p>
    <w:p>
      <w:pPr>
        <w:ind w:left="288" w:hanging="259"/>
      </w:pPr>
      <w:r>
        <w:rPr>
          <w:b/>
        </w:rPr>
        <w:t xml:space="preserve">• </w:t>
      </w:r>
      <w:r>
        <w:t>Controlled discount bucket: merchants can set per-bill, percentage, monthly, partner-level, and outlet-level caps.</w:t>
      </w:r>
    </w:p>
    <w:p>
      <w:pPr>
        <w:ind w:left="288" w:hanging="259"/>
      </w:pPr>
      <w:r>
        <w:rPr>
          <w:b/>
        </w:rPr>
        <w:t xml:space="preserve">• </w:t>
      </w:r>
      <w:r>
        <w:t>New vs repeat vs reactivated customer economics: partnership spend is optimized by customer type.</w:t>
      </w:r>
    </w:p>
    <w:p>
      <w:pPr>
        <w:ind w:left="288" w:hanging="259"/>
      </w:pPr>
      <w:r>
        <w:rPr>
          <w:b/>
        </w:rPr>
        <w:t xml:space="preserve">• </w:t>
      </w:r>
      <w:r>
        <w:t>Zero-process customer participation: QR + WhatsApp + quick claim code, not app-first adoption.</w:t>
      </w:r>
    </w:p>
    <w:p>
      <w:pPr>
        <w:ind w:left="288" w:hanging="259"/>
      </w:pPr>
      <w:r>
        <w:rPr>
          <w:b/>
        </w:rPr>
        <w:t xml:space="preserve">• </w:t>
      </w:r>
      <w:r>
        <w:t>Retention-led ROI: redemption counts alone do not prove value; first-visit-via-partnership and 90-day retention are key renewal arguments.</w:t>
      </w:r>
    </w:p>
    <w:p>
      <w:pPr>
        <w:ind w:left="288" w:hanging="259"/>
      </w:pPr>
      <w:r>
        <w:rPr>
          <w:b/>
        </w:rPr>
        <w:t xml:space="preserve">• </w:t>
      </w:r>
      <w:r>
        <w:t>Recommend-first onboarding: auto-suggest 3–5 nearby compatible partners rather than making merchants hunt.</w:t>
      </w:r>
    </w:p>
    <w:p>
      <w:pPr>
        <w:ind w:left="288" w:hanging="259"/>
      </w:pPr>
      <w:r>
        <w:rPr>
          <w:b/>
        </w:rPr>
        <w:t xml:space="preserve">• </w:t>
      </w:r>
      <w:r>
        <w:t>Cluster density over vanity scale: the business wins when dense zones become active, not when many merchants are merely enrolled.</w:t>
      </w:r>
    </w:p>
    <w:p>
      <w:pPr>
        <w:ind w:left="288" w:hanging="259"/>
      </w:pPr>
      <w:r>
        <w:rPr>
          <w:b/>
        </w:rPr>
        <w:t xml:space="preserve">• </w:t>
      </w:r>
      <w:r>
        <w:t>Owner approves, cashier executes: staff continuity and re-activation must be built into operations and UX.</w:t>
      </w:r>
    </w:p>
    <w:p>
      <w:pPr>
        <w:pStyle w:val="Heading1"/>
      </w:pPr>
      <w:r>
        <w:t>2. Business Note and Strategic Framing</w:t>
      </w:r>
    </w:p>
    <w:p>
      <w:pPr/>
      <w:r>
        <w:t>eWards is building a structured hyperlocal partnership platform that helps merchants launch local tie-ups, run them with controlled economics, and measure actual business impact. The product sits on top of existing loyalty, offer, approval, and reporting infrastructure, but the business framing is simpler: this is a local partnership-led acquisition and repeat business engine.</w:t>
      </w:r>
    </w:p>
    <w:p>
      <w:pPr>
        <w:pStyle w:val="Heading2"/>
      </w:pPr>
      <w:r>
        <w:t>2.1 Core business framing</w:t>
      </w:r>
    </w:p>
    <w:p>
      <w:pPr/>
      <w:r>
        <w:t>Retailers already spend on walk-in discounts, local couponing, mall promotions, and seasonal offers. Most of this spend is broad, passive, and weakly attributable. The Hyperlocal Partnership Network redirects part of that same spend toward customers sourced through trusted nearby merchants. This changes discounting from passive leakage into controlled, measurable local acquisition spend.</w:t>
      </w:r>
    </w:p>
    <w:p>
      <w:pPr>
        <w:pStyle w:val="Heading2"/>
      </w:pPr>
      <w:r>
        <w:t>2.2 What this is and what it is not</w:t>
      </w:r>
    </w:p>
    <w:tbl>
      <w:tblPr>
        <w:tblStyle w:val="TableGrid"/>
        <w:tblW w:type="auto" w:w="0"/>
        <w:jc w:val="center"/>
        <w:tblLook w:firstColumn="1" w:firstRow="1" w:lastColumn="0" w:lastRow="0" w:noHBand="0" w:noVBand="1" w:val="04A0"/>
      </w:tblPr>
      <w:tblGrid>
        <w:gridCol w:w="4968"/>
        <w:gridCol w:w="4968"/>
      </w:tblGrid>
      <w:tr>
        <w:tc>
          <w:tcPr>
            <w:tcW w:type="dxa" w:w="4608"/>
            <w:shd w:fill="DCE6F1"/>
            <w:vAlign w:val="center"/>
          </w:tcPr>
          <w:p>
            <w:pPr>
              <w:jc w:val="center"/>
            </w:pPr>
            <w:r/>
            <w:r>
              <w:rPr>
                <w:rFonts w:ascii="Aptos" w:hAnsi="Aptos"/>
                <w:b/>
                <w:color w:val="1D3557"/>
                <w:sz w:val="19"/>
              </w:rPr>
              <w:t>This product is</w:t>
            </w:r>
          </w:p>
        </w:tc>
        <w:tc>
          <w:tcPr>
            <w:tcW w:type="dxa" w:w="4608"/>
            <w:shd w:fill="DCE6F1"/>
            <w:vAlign w:val="center"/>
          </w:tcPr>
          <w:p>
            <w:pPr>
              <w:jc w:val="center"/>
            </w:pPr>
            <w:r/>
            <w:r>
              <w:rPr>
                <w:rFonts w:ascii="Aptos" w:hAnsi="Aptos"/>
                <w:b/>
                <w:color w:val="1D3557"/>
                <w:sz w:val="19"/>
              </w:rPr>
              <w:t>This product is not</w:t>
            </w:r>
          </w:p>
        </w:tc>
      </w:tr>
      <w:tr>
        <w:tc>
          <w:tcPr>
            <w:tcW w:type="dxa" w:w="4968"/>
            <w:vAlign w:val="center"/>
          </w:tcPr>
          <w:p>
            <w:pPr>
              <w:jc w:val="left"/>
            </w:pPr>
            <w:r/>
            <w:r>
              <w:rPr>
                <w:rFonts w:ascii="Aptos" w:hAnsi="Aptos"/>
                <w:b w:val="0"/>
                <w:sz w:val="19"/>
              </w:rPr>
              <w:t>A structured local partnership platform</w:t>
            </w:r>
          </w:p>
        </w:tc>
        <w:tc>
          <w:tcPr>
            <w:tcW w:type="dxa" w:w="4968"/>
            <w:vAlign w:val="center"/>
          </w:tcPr>
          <w:p>
            <w:pPr>
              <w:jc w:val="left"/>
            </w:pPr>
            <w:r/>
            <w:r>
              <w:rPr>
                <w:rFonts w:ascii="Aptos" w:hAnsi="Aptos"/>
                <w:b w:val="0"/>
                <w:sz w:val="19"/>
              </w:rPr>
              <w:t>An open multi-merchant loyalty wallet</w:t>
            </w:r>
          </w:p>
        </w:tc>
      </w:tr>
      <w:tr>
        <w:tc>
          <w:tcPr>
            <w:tcW w:type="dxa" w:w="4968"/>
            <w:vAlign w:val="center"/>
          </w:tcPr>
          <w:p>
            <w:pPr>
              <w:jc w:val="left"/>
            </w:pPr>
            <w:r/>
            <w:r>
              <w:rPr>
                <w:rFonts w:ascii="Aptos" w:hAnsi="Aptos"/>
                <w:b w:val="0"/>
                <w:sz w:val="19"/>
              </w:rPr>
              <w:t>A controlled discount allocation engine</w:t>
            </w:r>
          </w:p>
        </w:tc>
        <w:tc>
          <w:tcPr>
            <w:tcW w:type="dxa" w:w="4968"/>
            <w:vAlign w:val="center"/>
          </w:tcPr>
          <w:p>
            <w:pPr>
              <w:jc w:val="left"/>
            </w:pPr>
            <w:r/>
            <w:r>
              <w:rPr>
                <w:rFonts w:ascii="Aptos" w:hAnsi="Aptos"/>
                <w:b w:val="0"/>
                <w:sz w:val="19"/>
              </w:rPr>
              <w:t>A free-for-all coalition points network</w:t>
            </w:r>
          </w:p>
        </w:tc>
      </w:tr>
      <w:tr>
        <w:tc>
          <w:tcPr>
            <w:tcW w:type="dxa" w:w="4968"/>
            <w:vAlign w:val="center"/>
          </w:tcPr>
          <w:p>
            <w:pPr>
              <w:jc w:val="left"/>
            </w:pPr>
            <w:r/>
            <w:r>
              <w:rPr>
                <w:rFonts w:ascii="Aptos" w:hAnsi="Aptos"/>
                <w:b w:val="0"/>
                <w:sz w:val="19"/>
              </w:rPr>
              <w:t>A trust and validation layer between retailers</w:t>
            </w:r>
          </w:p>
        </w:tc>
        <w:tc>
          <w:tcPr>
            <w:tcW w:type="dxa" w:w="4968"/>
            <w:vAlign w:val="center"/>
          </w:tcPr>
          <w:p>
            <w:pPr>
              <w:jc w:val="left"/>
            </w:pPr>
            <w:r/>
            <w:r>
              <w:rPr>
                <w:rFonts w:ascii="Aptos" w:hAnsi="Aptos"/>
                <w:b w:val="0"/>
                <w:sz w:val="19"/>
              </w:rPr>
              <w:t>A customer database sharing marketplace</w:t>
            </w:r>
          </w:p>
        </w:tc>
      </w:tr>
      <w:tr>
        <w:tc>
          <w:tcPr>
            <w:tcW w:type="dxa" w:w="4968"/>
            <w:vAlign w:val="center"/>
          </w:tcPr>
          <w:p>
            <w:pPr>
              <w:jc w:val="left"/>
            </w:pPr>
            <w:r/>
            <w:r>
              <w:rPr>
                <w:rFonts w:ascii="Aptos" w:hAnsi="Aptos"/>
                <w:b w:val="0"/>
                <w:sz w:val="19"/>
              </w:rPr>
              <w:t>A measurable acquisition and repeat-business channel</w:t>
            </w:r>
          </w:p>
        </w:tc>
        <w:tc>
          <w:tcPr>
            <w:tcW w:type="dxa" w:w="4968"/>
            <w:vAlign w:val="center"/>
          </w:tcPr>
          <w:p>
            <w:pPr>
              <w:jc w:val="left"/>
            </w:pPr>
            <w:r/>
            <w:r>
              <w:rPr>
                <w:rFonts w:ascii="Aptos" w:hAnsi="Aptos"/>
                <w:b w:val="0"/>
                <w:sz w:val="19"/>
              </w:rPr>
              <w:t>A generic coupon directory</w:t>
            </w:r>
          </w:p>
        </w:tc>
      </w:tr>
      <w:tr>
        <w:tc>
          <w:tcPr>
            <w:tcW w:type="dxa" w:w="4968"/>
            <w:vAlign w:val="center"/>
          </w:tcPr>
          <w:p>
            <w:pPr>
              <w:jc w:val="left"/>
            </w:pPr>
            <w:r/>
            <w:r>
              <w:rPr>
                <w:rFonts w:ascii="Aptos" w:hAnsi="Aptos"/>
                <w:b w:val="0"/>
                <w:sz w:val="19"/>
              </w:rPr>
              <w:t>A merchant operations and reporting system</w:t>
            </w:r>
          </w:p>
        </w:tc>
        <w:tc>
          <w:tcPr>
            <w:tcW w:type="dxa" w:w="4968"/>
            <w:vAlign w:val="center"/>
          </w:tcPr>
          <w:p>
            <w:pPr>
              <w:jc w:val="left"/>
            </w:pPr>
            <w:r/>
            <w:r>
              <w:rPr>
                <w:rFonts w:ascii="Aptos" w:hAnsi="Aptos"/>
                <w:b w:val="0"/>
                <w:sz w:val="19"/>
              </w:rPr>
              <w:t>An AI-first product experience</w:t>
            </w:r>
          </w:p>
        </w:tc>
      </w:tr>
    </w:tbl>
    <w:p/>
    <w:p>
      <w:pPr>
        <w:pStyle w:val="Heading2"/>
      </w:pPr>
      <w:r>
        <w:t>2.3 Why merchants would care</w:t>
      </w:r>
    </w:p>
    <w:p>
      <w:pPr>
        <w:ind w:left="288" w:hanging="259"/>
      </w:pPr>
      <w:r>
        <w:rPr>
          <w:b/>
        </w:rPr>
        <w:t xml:space="preserve">• </w:t>
      </w:r>
      <w:r>
        <w:t>They can redirect existing discount spend toward more qualified local customers.</w:t>
      </w:r>
    </w:p>
    <w:p>
      <w:pPr>
        <w:ind w:left="288" w:hanging="259"/>
      </w:pPr>
      <w:r>
        <w:rPr>
          <w:b/>
        </w:rPr>
        <w:t xml:space="preserve">• </w:t>
      </w:r>
      <w:r>
        <w:t>They can cap downside before the tie-up even starts.</w:t>
      </w:r>
    </w:p>
    <w:p>
      <w:pPr>
        <w:ind w:left="288" w:hanging="259"/>
      </w:pPr>
      <w:r>
        <w:rPr>
          <w:b/>
        </w:rPr>
        <w:t xml:space="preserve">• </w:t>
      </w:r>
      <w:r>
        <w:t>They can distinguish acquisition spend from retention spend.</w:t>
      </w:r>
    </w:p>
    <w:p>
      <w:pPr>
        <w:ind w:left="288" w:hanging="259"/>
      </w:pPr>
      <w:r>
        <w:rPr>
          <w:b/>
        </w:rPr>
        <w:t xml:space="preserve">• </w:t>
      </w:r>
      <w:r>
        <w:t>They can see revenue, repeat rate, and net benefit at partnership level.</w:t>
      </w:r>
    </w:p>
    <w:p>
      <w:pPr>
        <w:ind w:left="288" w:hanging="259"/>
      </w:pPr>
      <w:r>
        <w:rPr>
          <w:b/>
        </w:rPr>
        <w:t xml:space="preserve">• </w:t>
      </w:r>
      <w:r>
        <w:t>They can pause, renegotiate, or expand based on evidence rather than intuition.</w:t>
      </w:r>
    </w:p>
    <w:p>
      <w:pPr>
        <w:pStyle w:val="Heading2"/>
      </w:pPr>
      <w:r>
        <w:t>2.4 Why this matters for eWards</w:t>
      </w:r>
    </w:p>
    <w:p>
      <w:pPr/>
      <w:r>
        <w:t>For eWards, this creates a moat beyond standard CRM or loyalty execution. The defensibility comes from real-time validation, rule enforcement, trust without database sharing, outlet-level execution support, attribution, and partnership economics reporting. If successful, the module can increase platform stickiness, create local network effects, and support premium monetization.</w:t>
      </w:r>
    </w:p>
    <w:p>
      <w:pPr>
        <w:pStyle w:val="Heading1"/>
      </w:pPr>
      <w:r>
        <w:t>3. Product Vision, Scope, and Success Principles</w:t>
      </w:r>
    </w:p>
    <w:p>
      <w:pPr>
        <w:pStyle w:val="Heading2"/>
      </w:pPr>
      <w:r>
        <w:t>3.1 Product vision</w:t>
      </w:r>
    </w:p>
    <w:p>
      <w:pPr/>
      <w:r>
        <w:t>Enable offline retailers to partner with nearby outlets in a controlled way so they can acquire better local customers, influence repeat visits, and measure whether those partnerships create retained commercial value.</w:t>
      </w:r>
    </w:p>
    <w:p>
      <w:pPr>
        <w:pStyle w:val="Heading2"/>
      </w:pPr>
      <w:r>
        <w:t>3.2 Scope principles</w:t>
      </w:r>
    </w:p>
    <w:p>
      <w:pPr>
        <w:ind w:left="288" w:hanging="259"/>
      </w:pPr>
      <w:r>
        <w:rPr>
          <w:b/>
        </w:rPr>
        <w:t xml:space="preserve">• </w:t>
      </w:r>
      <w:r>
        <w:t>Build broad, launch focused: backend may support more than V1 reveals.</w:t>
      </w:r>
    </w:p>
    <w:p>
      <w:pPr>
        <w:ind w:left="288" w:hanging="259"/>
      </w:pPr>
      <w:r>
        <w:rPr>
          <w:b/>
        </w:rPr>
        <w:t xml:space="preserve">• </w:t>
      </w:r>
      <w:r>
        <w:t>Templates first, custom logic later: default scenarios should drive most early adoption.</w:t>
      </w:r>
    </w:p>
    <w:p>
      <w:pPr>
        <w:ind w:left="288" w:hanging="259"/>
      </w:pPr>
      <w:r>
        <w:rPr>
          <w:b/>
        </w:rPr>
        <w:t xml:space="preserve">• </w:t>
      </w:r>
      <w:r>
        <w:t>Recommend-first discovery: the system should propose likely-fit partners during onboarding.</w:t>
      </w:r>
    </w:p>
    <w:p>
      <w:pPr>
        <w:ind w:left="288" w:hanging="259"/>
      </w:pPr>
      <w:r>
        <w:rPr>
          <w:b/>
        </w:rPr>
        <w:t xml:space="preserve">• </w:t>
      </w:r>
      <w:r>
        <w:t>Cashier-first simplicity: execution must be understandable in seconds.</w:t>
      </w:r>
    </w:p>
    <w:p>
      <w:pPr>
        <w:ind w:left="288" w:hanging="259"/>
      </w:pPr>
      <w:r>
        <w:rPr>
          <w:b/>
        </w:rPr>
        <w:t xml:space="preserve">• </w:t>
      </w:r>
      <w:r>
        <w:t>Proof over participation: renewal depends on retained customer value, not raw redemption volume.</w:t>
      </w:r>
    </w:p>
    <w:p>
      <w:pPr>
        <w:pStyle w:val="Heading2"/>
      </w:pPr>
      <w:r>
        <w:t>3.3 Success principles</w:t>
      </w:r>
    </w:p>
    <w:tbl>
      <w:tblPr>
        <w:tblStyle w:val="TableGrid"/>
        <w:tblW w:type="auto" w:w="0"/>
        <w:jc w:val="center"/>
        <w:tblLook w:firstColumn="1" w:firstRow="1" w:lastColumn="0" w:lastRow="0" w:noHBand="0" w:noVBand="1" w:val="04A0"/>
      </w:tblPr>
      <w:tblGrid>
        <w:gridCol w:w="4968"/>
        <w:gridCol w:w="4968"/>
      </w:tblGrid>
      <w:tr>
        <w:tc>
          <w:tcPr>
            <w:tcW w:type="dxa" w:w="2448"/>
            <w:shd w:fill="DCE6F1"/>
            <w:vAlign w:val="center"/>
          </w:tcPr>
          <w:p>
            <w:pPr>
              <w:jc w:val="center"/>
            </w:pPr>
            <w:r/>
            <w:r>
              <w:rPr>
                <w:rFonts w:ascii="Aptos" w:hAnsi="Aptos"/>
                <w:b/>
                <w:color w:val="1D3557"/>
                <w:sz w:val="19"/>
              </w:rPr>
              <w:t>Principle</w:t>
            </w:r>
          </w:p>
        </w:tc>
        <w:tc>
          <w:tcPr>
            <w:tcW w:type="dxa" w:w="6768"/>
            <w:shd w:fill="DCE6F1"/>
            <w:vAlign w:val="center"/>
          </w:tcPr>
          <w:p>
            <w:pPr>
              <w:jc w:val="center"/>
            </w:pPr>
            <w:r/>
            <w:r>
              <w:rPr>
                <w:rFonts w:ascii="Aptos" w:hAnsi="Aptos"/>
                <w:b/>
                <w:color w:val="1D3557"/>
                <w:sz w:val="19"/>
              </w:rPr>
              <w:t>Meaning in practice</w:t>
            </w:r>
          </w:p>
        </w:tc>
      </w:tr>
      <w:tr>
        <w:tc>
          <w:tcPr>
            <w:tcW w:type="dxa" w:w="4968"/>
            <w:vAlign w:val="center"/>
          </w:tcPr>
          <w:p>
            <w:pPr>
              <w:jc w:val="left"/>
            </w:pPr>
            <w:r/>
            <w:r>
              <w:rPr>
                <w:rFonts w:ascii="Aptos" w:hAnsi="Aptos"/>
                <w:b w:val="0"/>
                <w:sz w:val="19"/>
              </w:rPr>
              <w:t>Easy to activate</w:t>
            </w:r>
          </w:p>
        </w:tc>
        <w:tc>
          <w:tcPr>
            <w:tcW w:type="dxa" w:w="4968"/>
            <w:vAlign w:val="center"/>
          </w:tcPr>
          <w:p>
            <w:pPr>
              <w:jc w:val="left"/>
            </w:pPr>
            <w:r/>
            <w:r>
              <w:rPr>
                <w:rFonts w:ascii="Aptos" w:hAnsi="Aptos"/>
                <w:b w:val="0"/>
                <w:sz w:val="19"/>
              </w:rPr>
              <w:t>Merchants can move from suggestion to active tie-up with minimal setup.</w:t>
            </w:r>
          </w:p>
        </w:tc>
      </w:tr>
      <w:tr>
        <w:tc>
          <w:tcPr>
            <w:tcW w:type="dxa" w:w="4968"/>
            <w:vAlign w:val="center"/>
          </w:tcPr>
          <w:p>
            <w:pPr>
              <w:jc w:val="left"/>
            </w:pPr>
            <w:r/>
            <w:r>
              <w:rPr>
                <w:rFonts w:ascii="Aptos" w:hAnsi="Aptos"/>
                <w:b w:val="0"/>
                <w:sz w:val="19"/>
              </w:rPr>
              <w:t>Safe to try</w:t>
            </w:r>
          </w:p>
        </w:tc>
        <w:tc>
          <w:tcPr>
            <w:tcW w:type="dxa" w:w="4968"/>
            <w:vAlign w:val="center"/>
          </w:tcPr>
          <w:p>
            <w:pPr>
              <w:jc w:val="left"/>
            </w:pPr>
            <w:r/>
            <w:r>
              <w:rPr>
                <w:rFonts w:ascii="Aptos" w:hAnsi="Aptos"/>
                <w:b w:val="0"/>
                <w:sz w:val="19"/>
              </w:rPr>
              <w:t>Caps, blackout rules, and monthly ceilings limit downside.</w:t>
            </w:r>
          </w:p>
        </w:tc>
      </w:tr>
      <w:tr>
        <w:tc>
          <w:tcPr>
            <w:tcW w:type="dxa" w:w="4968"/>
            <w:vAlign w:val="center"/>
          </w:tcPr>
          <w:p>
            <w:pPr>
              <w:jc w:val="left"/>
            </w:pPr>
            <w:r/>
            <w:r>
              <w:rPr>
                <w:rFonts w:ascii="Aptos" w:hAnsi="Aptos"/>
                <w:b w:val="0"/>
                <w:sz w:val="19"/>
              </w:rPr>
              <w:t>Easy to execute</w:t>
            </w:r>
          </w:p>
        </w:tc>
        <w:tc>
          <w:tcPr>
            <w:tcW w:type="dxa" w:w="4968"/>
            <w:vAlign w:val="center"/>
          </w:tcPr>
          <w:p>
            <w:pPr>
              <w:jc w:val="left"/>
            </w:pPr>
            <w:r/>
            <w:r>
              <w:rPr>
                <w:rFonts w:ascii="Aptos" w:hAnsi="Aptos"/>
                <w:b w:val="0"/>
                <w:sz w:val="19"/>
              </w:rPr>
              <w:t>Cashier journey is low-click, clear, and role-appropriate.</w:t>
            </w:r>
          </w:p>
        </w:tc>
      </w:tr>
      <w:tr>
        <w:tc>
          <w:tcPr>
            <w:tcW w:type="dxa" w:w="4968"/>
            <w:vAlign w:val="center"/>
          </w:tcPr>
          <w:p>
            <w:pPr>
              <w:jc w:val="left"/>
            </w:pPr>
            <w:r/>
            <w:r>
              <w:rPr>
                <w:rFonts w:ascii="Aptos" w:hAnsi="Aptos"/>
                <w:b w:val="0"/>
                <w:sz w:val="19"/>
              </w:rPr>
              <w:t>Easy to understand</w:t>
            </w:r>
          </w:p>
        </w:tc>
        <w:tc>
          <w:tcPr>
            <w:tcW w:type="dxa" w:w="4968"/>
            <w:vAlign w:val="center"/>
          </w:tcPr>
          <w:p>
            <w:pPr>
              <w:jc w:val="left"/>
            </w:pPr>
            <w:r/>
            <w:r>
              <w:rPr>
                <w:rFonts w:ascii="Aptos" w:hAnsi="Aptos"/>
                <w:b w:val="0"/>
                <w:sz w:val="19"/>
              </w:rPr>
              <w:t>Reports show revenue, acquisition quality, repeat behavior, and exposure.</w:t>
            </w:r>
          </w:p>
        </w:tc>
      </w:tr>
      <w:tr>
        <w:tc>
          <w:tcPr>
            <w:tcW w:type="dxa" w:w="4968"/>
            <w:vAlign w:val="center"/>
          </w:tcPr>
          <w:p>
            <w:pPr>
              <w:jc w:val="left"/>
            </w:pPr>
            <w:r/>
            <w:r>
              <w:rPr>
                <w:rFonts w:ascii="Aptos" w:hAnsi="Aptos"/>
                <w:b w:val="0"/>
                <w:sz w:val="19"/>
              </w:rPr>
              <w:t>Easy to sustain</w:t>
            </w:r>
          </w:p>
        </w:tc>
        <w:tc>
          <w:tcPr>
            <w:tcW w:type="dxa" w:w="4968"/>
            <w:vAlign w:val="center"/>
          </w:tcPr>
          <w:p>
            <w:pPr>
              <w:jc w:val="left"/>
            </w:pPr>
            <w:r/>
            <w:r>
              <w:rPr>
                <w:rFonts w:ascii="Aptos" w:hAnsi="Aptos"/>
                <w:b w:val="0"/>
                <w:sz w:val="19"/>
              </w:rPr>
              <w:t>Dormancy controls, staff re-activation, and partnership health tracking prevent decay.</w:t>
            </w:r>
          </w:p>
        </w:tc>
      </w:tr>
    </w:tbl>
    <w:p/>
    <w:p>
      <w:pPr>
        <w:pStyle w:val="Heading1"/>
      </w:pPr>
      <w:r>
        <w:t>4. User Types and Stakeholder Roles</w:t>
      </w:r>
    </w:p>
    <w:tbl>
      <w:tblPr>
        <w:tblStyle w:val="TableGrid"/>
        <w:tblW w:type="auto" w:w="0"/>
        <w:jc w:val="center"/>
        <w:tblLook w:firstColumn="1" w:firstRow="1" w:lastColumn="0" w:lastRow="0" w:noHBand="0" w:noVBand="1" w:val="04A0"/>
      </w:tblPr>
      <w:tblGrid>
        <w:gridCol w:w="3312"/>
        <w:gridCol w:w="3312"/>
        <w:gridCol w:w="3312"/>
      </w:tblGrid>
      <w:tr>
        <w:tc>
          <w:tcPr>
            <w:tcW w:type="dxa" w:w="2016"/>
            <w:shd w:fill="DCE6F1"/>
            <w:vAlign w:val="center"/>
          </w:tcPr>
          <w:p>
            <w:pPr>
              <w:jc w:val="center"/>
            </w:pPr>
            <w:r/>
            <w:r>
              <w:rPr>
                <w:rFonts w:ascii="Aptos" w:hAnsi="Aptos"/>
                <w:b/>
                <w:color w:val="1D3557"/>
                <w:sz w:val="19"/>
              </w:rPr>
              <w:t>Role</w:t>
            </w:r>
          </w:p>
        </w:tc>
        <w:tc>
          <w:tcPr>
            <w:tcW w:type="dxa" w:w="4464"/>
            <w:shd w:fill="DCE6F1"/>
            <w:vAlign w:val="center"/>
          </w:tcPr>
          <w:p>
            <w:pPr>
              <w:jc w:val="center"/>
            </w:pPr>
            <w:r/>
            <w:r>
              <w:rPr>
                <w:rFonts w:ascii="Aptos" w:hAnsi="Aptos"/>
                <w:b/>
                <w:color w:val="1D3557"/>
                <w:sz w:val="19"/>
              </w:rPr>
              <w:t>Primary actions</w:t>
            </w:r>
          </w:p>
        </w:tc>
        <w:tc>
          <w:tcPr>
            <w:tcW w:type="dxa" w:w="2880"/>
            <w:shd w:fill="DCE6F1"/>
            <w:vAlign w:val="center"/>
          </w:tcPr>
          <w:p>
            <w:pPr>
              <w:jc w:val="center"/>
            </w:pPr>
            <w:r/>
            <w:r>
              <w:rPr>
                <w:rFonts w:ascii="Aptos" w:hAnsi="Aptos"/>
                <w:b/>
                <w:color w:val="1D3557"/>
                <w:sz w:val="19"/>
              </w:rPr>
              <w:t>Key risk if unsupported</w:t>
            </w:r>
          </w:p>
        </w:tc>
      </w:tr>
      <w:tr>
        <w:tc>
          <w:tcPr>
            <w:tcW w:type="dxa" w:w="3312"/>
            <w:vAlign w:val="center"/>
          </w:tcPr>
          <w:p>
            <w:pPr>
              <w:jc w:val="left"/>
            </w:pPr>
            <w:r/>
            <w:r>
              <w:rPr>
                <w:rFonts w:ascii="Aptos" w:hAnsi="Aptos"/>
                <w:b w:val="0"/>
                <w:sz w:val="19"/>
              </w:rPr>
              <w:t>Merchant / brand admin</w:t>
            </w:r>
          </w:p>
        </w:tc>
        <w:tc>
          <w:tcPr>
            <w:tcW w:type="dxa" w:w="3312"/>
            <w:vAlign w:val="center"/>
          </w:tcPr>
          <w:p>
            <w:pPr>
              <w:jc w:val="left"/>
            </w:pPr>
            <w:r/>
            <w:r>
              <w:rPr>
                <w:rFonts w:ascii="Aptos" w:hAnsi="Aptos"/>
                <w:b w:val="0"/>
                <w:sz w:val="19"/>
              </w:rPr>
              <w:t>Approve partnerships, define caps, monitor ROI, expand or pause tie-ups</w:t>
            </w:r>
          </w:p>
        </w:tc>
        <w:tc>
          <w:tcPr>
            <w:tcW w:type="dxa" w:w="3312"/>
            <w:vAlign w:val="center"/>
          </w:tcPr>
          <w:p>
            <w:pPr>
              <w:jc w:val="left"/>
            </w:pPr>
            <w:r/>
            <w:r>
              <w:rPr>
                <w:rFonts w:ascii="Aptos" w:hAnsi="Aptos"/>
                <w:b w:val="0"/>
                <w:sz w:val="19"/>
              </w:rPr>
              <w:t>Will not activate or renew</w:t>
            </w:r>
          </w:p>
        </w:tc>
      </w:tr>
      <w:tr>
        <w:tc>
          <w:tcPr>
            <w:tcW w:type="dxa" w:w="3312"/>
            <w:vAlign w:val="center"/>
          </w:tcPr>
          <w:p>
            <w:pPr>
              <w:jc w:val="left"/>
            </w:pPr>
            <w:r/>
            <w:r>
              <w:rPr>
                <w:rFonts w:ascii="Aptos" w:hAnsi="Aptos"/>
                <w:b w:val="0"/>
                <w:sz w:val="19"/>
              </w:rPr>
              <w:t>Outlet manager</w:t>
            </w:r>
          </w:p>
        </w:tc>
        <w:tc>
          <w:tcPr>
            <w:tcW w:type="dxa" w:w="3312"/>
            <w:vAlign w:val="center"/>
          </w:tcPr>
          <w:p>
            <w:pPr>
              <w:jc w:val="left"/>
            </w:pPr>
            <w:r/>
            <w:r>
              <w:rPr>
                <w:rFonts w:ascii="Aptos" w:hAnsi="Aptos"/>
                <w:b w:val="0"/>
                <w:sz w:val="19"/>
              </w:rPr>
              <w:t>Select outlets, confirm readiness, monitor local usage, manage staff enablement</w:t>
            </w:r>
          </w:p>
        </w:tc>
        <w:tc>
          <w:tcPr>
            <w:tcW w:type="dxa" w:w="3312"/>
            <w:vAlign w:val="center"/>
          </w:tcPr>
          <w:p>
            <w:pPr>
              <w:jc w:val="left"/>
            </w:pPr>
            <w:r/>
            <w:r>
              <w:rPr>
                <w:rFonts w:ascii="Aptos" w:hAnsi="Aptos"/>
                <w:b w:val="0"/>
                <w:sz w:val="19"/>
              </w:rPr>
              <w:t>Tie-up remains theoretically active but practically unused</w:t>
            </w:r>
          </w:p>
        </w:tc>
      </w:tr>
      <w:tr>
        <w:tc>
          <w:tcPr>
            <w:tcW w:type="dxa" w:w="3312"/>
            <w:vAlign w:val="center"/>
          </w:tcPr>
          <w:p>
            <w:pPr>
              <w:jc w:val="left"/>
            </w:pPr>
            <w:r/>
            <w:r>
              <w:rPr>
                <w:rFonts w:ascii="Aptos" w:hAnsi="Aptos"/>
                <w:b w:val="0"/>
                <w:sz w:val="19"/>
              </w:rPr>
              <w:t>Cashier / front-desk staff</w:t>
            </w:r>
          </w:p>
        </w:tc>
        <w:tc>
          <w:tcPr>
            <w:tcW w:type="dxa" w:w="3312"/>
            <w:vAlign w:val="center"/>
          </w:tcPr>
          <w:p>
            <w:pPr>
              <w:jc w:val="left"/>
            </w:pPr>
            <w:r/>
            <w:r>
              <w:rPr>
                <w:rFonts w:ascii="Aptos" w:hAnsi="Aptos"/>
                <w:b w:val="0"/>
                <w:sz w:val="19"/>
              </w:rPr>
              <w:t>Lookup eligibility, send approval, validate claim, apply benefit</w:t>
            </w:r>
          </w:p>
        </w:tc>
        <w:tc>
          <w:tcPr>
            <w:tcW w:type="dxa" w:w="3312"/>
            <w:vAlign w:val="center"/>
          </w:tcPr>
          <w:p>
            <w:pPr>
              <w:jc w:val="left"/>
            </w:pPr>
            <w:r/>
            <w:r>
              <w:rPr>
                <w:rFonts w:ascii="Aptos" w:hAnsi="Aptos"/>
                <w:b w:val="0"/>
                <w:sz w:val="19"/>
              </w:rPr>
              <w:t>Customer friction and failed redemptions</w:t>
            </w:r>
          </w:p>
        </w:tc>
      </w:tr>
      <w:tr>
        <w:tc>
          <w:tcPr>
            <w:tcW w:type="dxa" w:w="3312"/>
            <w:vAlign w:val="center"/>
          </w:tcPr>
          <w:p>
            <w:pPr>
              <w:jc w:val="left"/>
            </w:pPr>
            <w:r/>
            <w:r>
              <w:rPr>
                <w:rFonts w:ascii="Aptos" w:hAnsi="Aptos"/>
                <w:b w:val="0"/>
                <w:sz w:val="19"/>
              </w:rPr>
              <w:t>Customer</w:t>
            </w:r>
          </w:p>
        </w:tc>
        <w:tc>
          <w:tcPr>
            <w:tcW w:type="dxa" w:w="3312"/>
            <w:vAlign w:val="center"/>
          </w:tcPr>
          <w:p>
            <w:pPr>
              <w:jc w:val="left"/>
            </w:pPr>
            <w:r/>
            <w:r>
              <w:rPr>
                <w:rFonts w:ascii="Aptos" w:hAnsi="Aptos"/>
                <w:b w:val="0"/>
                <w:sz w:val="19"/>
              </w:rPr>
              <w:t>Scan QR, view relevant offers, claim benefit, show code/QR</w:t>
            </w:r>
          </w:p>
        </w:tc>
        <w:tc>
          <w:tcPr>
            <w:tcW w:type="dxa" w:w="3312"/>
            <w:vAlign w:val="center"/>
          </w:tcPr>
          <w:p>
            <w:pPr>
              <w:jc w:val="left"/>
            </w:pPr>
            <w:r/>
            <w:r>
              <w:rPr>
                <w:rFonts w:ascii="Aptos" w:hAnsi="Aptos"/>
                <w:b w:val="0"/>
                <w:sz w:val="19"/>
              </w:rPr>
              <w:t>Drop-off if journey is too long</w:t>
            </w:r>
          </w:p>
        </w:tc>
      </w:tr>
      <w:tr>
        <w:tc>
          <w:tcPr>
            <w:tcW w:type="dxa" w:w="3312"/>
            <w:vAlign w:val="center"/>
          </w:tcPr>
          <w:p>
            <w:pPr>
              <w:jc w:val="left"/>
            </w:pPr>
            <w:r/>
            <w:r>
              <w:rPr>
                <w:rFonts w:ascii="Aptos" w:hAnsi="Aptos"/>
                <w:b w:val="0"/>
                <w:sz w:val="19"/>
              </w:rPr>
              <w:t>eWards ops/support</w:t>
            </w:r>
          </w:p>
        </w:tc>
        <w:tc>
          <w:tcPr>
            <w:tcW w:type="dxa" w:w="3312"/>
            <w:vAlign w:val="center"/>
          </w:tcPr>
          <w:p>
            <w:pPr>
              <w:jc w:val="left"/>
            </w:pPr>
            <w:r/>
            <w:r>
              <w:rPr>
                <w:rFonts w:ascii="Aptos" w:hAnsi="Aptos"/>
                <w:b w:val="0"/>
                <w:sz w:val="19"/>
              </w:rPr>
              <w:t>Assist onboarding, agreement alignment, troubleshooting, dormancy recovery</w:t>
            </w:r>
          </w:p>
        </w:tc>
        <w:tc>
          <w:tcPr>
            <w:tcW w:type="dxa" w:w="3312"/>
            <w:vAlign w:val="center"/>
          </w:tcPr>
          <w:p>
            <w:pPr>
              <w:jc w:val="left"/>
            </w:pPr>
            <w:r/>
            <w:r>
              <w:rPr>
                <w:rFonts w:ascii="Aptos" w:hAnsi="Aptos"/>
                <w:b w:val="0"/>
                <w:sz w:val="19"/>
              </w:rPr>
              <w:t>Slow go-live and weak merchant confidence</w:t>
            </w:r>
          </w:p>
        </w:tc>
      </w:tr>
      <w:tr>
        <w:tc>
          <w:tcPr>
            <w:tcW w:type="dxa" w:w="3312"/>
            <w:vAlign w:val="center"/>
          </w:tcPr>
          <w:p>
            <w:pPr>
              <w:jc w:val="left"/>
            </w:pPr>
            <w:r/>
            <w:r>
              <w:rPr>
                <w:rFonts w:ascii="Aptos" w:hAnsi="Aptos"/>
                <w:b w:val="0"/>
                <w:sz w:val="19"/>
              </w:rPr>
              <w:t>Finance / business owner</w:t>
            </w:r>
          </w:p>
        </w:tc>
        <w:tc>
          <w:tcPr>
            <w:tcW w:type="dxa" w:w="3312"/>
            <w:vAlign w:val="center"/>
          </w:tcPr>
          <w:p>
            <w:pPr>
              <w:jc w:val="left"/>
            </w:pPr>
            <w:r/>
            <w:r>
              <w:rPr>
                <w:rFonts w:ascii="Aptos" w:hAnsi="Aptos"/>
                <w:b w:val="0"/>
                <w:sz w:val="19"/>
              </w:rPr>
              <w:t>Review statements, profitability, reciprocity, retention impact</w:t>
            </w:r>
          </w:p>
        </w:tc>
        <w:tc>
          <w:tcPr>
            <w:tcW w:type="dxa" w:w="3312"/>
            <w:vAlign w:val="center"/>
          </w:tcPr>
          <w:p>
            <w:pPr>
              <w:jc w:val="left"/>
            </w:pPr>
            <w:r/>
            <w:r>
              <w:rPr>
                <w:rFonts w:ascii="Aptos" w:hAnsi="Aptos"/>
                <w:b w:val="0"/>
                <w:sz w:val="19"/>
              </w:rPr>
              <w:t>Questions value or fears margin leakage</w:t>
            </w:r>
          </w:p>
        </w:tc>
      </w:tr>
    </w:tbl>
    <w:p/>
    <w:p>
      <w:pPr>
        <w:pStyle w:val="Heading1"/>
      </w:pPr>
      <w:r>
        <w:t>5. Core Product Modules</w:t>
      </w:r>
    </w:p>
    <w:p>
      <w:pPr>
        <w:pStyle w:val="Heading2"/>
      </w:pPr>
      <w:r>
        <w:t>Partner suggestion and discovery</w:t>
      </w:r>
    </w:p>
    <w:p>
      <w:pPr/>
      <w:r>
        <w:t>Auto-suggest 3–5 nearby compatible merchants during onboarding; support search, filters, and map/list view for secondary exploration.</w:t>
      </w:r>
    </w:p>
    <w:p>
      <w:pPr>
        <w:pStyle w:val="Heading2"/>
      </w:pPr>
      <w:r>
        <w:t>Partnership request and negotiation</w:t>
      </w:r>
    </w:p>
    <w:p>
      <w:pPr/>
      <w:r>
        <w:t>Proposal flow with scope, terms, caps, participating outlets, dates, notes, counter-offers, and status tracking.</w:t>
      </w:r>
    </w:p>
    <w:p>
      <w:pPr>
        <w:pStyle w:val="Heading2"/>
      </w:pPr>
      <w:r>
        <w:t>Agreement and onboarding</w:t>
      </w:r>
    </w:p>
    <w:p>
      <w:pPr/>
      <w:r>
        <w:t>Legal/commercial acceptance, participating outlet confirmation, operational readiness, support contacts, and go-live checklist.</w:t>
      </w:r>
    </w:p>
    <w:p>
      <w:pPr>
        <w:pStyle w:val="Heading2"/>
      </w:pPr>
      <w:r>
        <w:t>Partnership configuration</w:t>
      </w:r>
    </w:p>
    <w:p>
      <w:pPr/>
      <w:r>
        <w:t>Visible V1 controls for caps, thresholds, monthly limits, new vs existing customer logic, approval flow, and blackout rules.</w:t>
      </w:r>
    </w:p>
    <w:p>
      <w:pPr>
        <w:pStyle w:val="Heading2"/>
      </w:pPr>
      <w:r>
        <w:t>Customer activation layer</w:t>
      </w:r>
    </w:p>
    <w:p>
      <w:pPr/>
      <w:r>
        <w:t>QR-led WhatsApp discovery, context-specific partner offers, claim code / dynamic QR issuance, validity windows.</w:t>
      </w:r>
    </w:p>
    <w:p>
      <w:pPr>
        <w:pStyle w:val="Heading2"/>
      </w:pPr>
      <w:r>
        <w:t>Cashier execution layer</w:t>
      </w:r>
    </w:p>
    <w:p>
      <w:pPr/>
      <w:r>
        <w:t>Eligibility check, approval status, cap reason, one-click redemption validation, duplicate protection, fallback help prompts.</w:t>
      </w:r>
    </w:p>
    <w:p>
      <w:pPr>
        <w:pStyle w:val="Heading2"/>
      </w:pPr>
      <w:r>
        <w:t>Audit and statementing</w:t>
      </w:r>
    </w:p>
    <w:p>
      <w:pPr/>
      <w:r>
        <w:t>Full transaction trail, rule snapshot, customer classification, reimbursement logic, virtual ledger, and monthly statement generation.</w:t>
      </w:r>
    </w:p>
    <w:p>
      <w:pPr>
        <w:pStyle w:val="Heading2"/>
      </w:pPr>
      <w:r>
        <w:t>Analytics and ROI</w:t>
      </w:r>
    </w:p>
    <w:p>
      <w:pPr/>
      <w:r>
        <w:t>Revenue, cost, first-visit-via-partnership, 30/60/90-day retention, reciprocity, cluster health, and renewal indicators.</w:t>
      </w:r>
    </w:p>
    <w:p>
      <w:pPr>
        <w:pStyle w:val="Heading1"/>
      </w:pPr>
      <w:r>
        <w:t>6. Customer Journey and Zero-Process Activation Layer</w:t>
      </w:r>
    </w:p>
    <w:p>
      <w:pPr/>
      <w:r>
        <w:t>The customer journey must avoid app dependency, deep sign-up flows, manual balance transfers, and any interface that asks the customer to understand the underlying economics. The target interaction is near-zero-process.</w:t>
      </w:r>
    </w:p>
    <w:p>
      <w:pPr>
        <w:pStyle w:val="Heading2"/>
      </w:pPr>
      <w:r>
        <w:t>6.1 Target journey</w:t>
      </w:r>
    </w:p>
    <w:tbl>
      <w:tblPr>
        <w:tblStyle w:val="TableGrid"/>
        <w:tblW w:type="auto" w:w="0"/>
        <w:jc w:val="center"/>
        <w:tblLook w:firstColumn="1" w:firstRow="1" w:lastColumn="0" w:lastRow="0" w:noHBand="0" w:noVBand="1" w:val="04A0"/>
      </w:tblPr>
      <w:tblGrid>
        <w:gridCol w:w="3312"/>
        <w:gridCol w:w="3312"/>
        <w:gridCol w:w="3312"/>
      </w:tblGrid>
      <w:tr>
        <w:tc>
          <w:tcPr>
            <w:tcW w:type="dxa" w:w="1152"/>
            <w:shd w:fill="DCE6F1"/>
            <w:vAlign w:val="center"/>
          </w:tcPr>
          <w:p>
            <w:pPr>
              <w:jc w:val="center"/>
            </w:pPr>
            <w:r/>
            <w:r>
              <w:rPr>
                <w:rFonts w:ascii="Aptos" w:hAnsi="Aptos"/>
                <w:b/>
                <w:color w:val="1D3557"/>
                <w:sz w:val="19"/>
              </w:rPr>
              <w:t>Step</w:t>
            </w:r>
          </w:p>
        </w:tc>
        <w:tc>
          <w:tcPr>
            <w:tcW w:type="dxa" w:w="4320"/>
            <w:shd w:fill="DCE6F1"/>
            <w:vAlign w:val="center"/>
          </w:tcPr>
          <w:p>
            <w:pPr>
              <w:jc w:val="center"/>
            </w:pPr>
            <w:r/>
            <w:r>
              <w:rPr>
                <w:rFonts w:ascii="Aptos" w:hAnsi="Aptos"/>
                <w:b/>
                <w:color w:val="1D3557"/>
                <w:sz w:val="19"/>
              </w:rPr>
              <w:t>Customer experience</w:t>
            </w:r>
          </w:p>
        </w:tc>
        <w:tc>
          <w:tcPr>
            <w:tcW w:type="dxa" w:w="4032"/>
            <w:shd w:fill="DCE6F1"/>
            <w:vAlign w:val="center"/>
          </w:tcPr>
          <w:p>
            <w:pPr>
              <w:jc w:val="center"/>
            </w:pPr>
            <w:r/>
            <w:r>
              <w:rPr>
                <w:rFonts w:ascii="Aptos" w:hAnsi="Aptos"/>
                <w:b/>
                <w:color w:val="1D3557"/>
                <w:sz w:val="19"/>
              </w:rPr>
              <w:t>System action</w:t>
            </w:r>
          </w:p>
        </w:tc>
      </w:tr>
      <w:tr>
        <w:tc>
          <w:tcPr>
            <w:tcW w:type="dxa" w:w="3312"/>
            <w:vAlign w:val="center"/>
          </w:tcPr>
          <w:p>
            <w:pPr>
              <w:jc w:val="left"/>
            </w:pPr>
            <w:r/>
            <w:r>
              <w:rPr>
                <w:rFonts w:ascii="Aptos" w:hAnsi="Aptos"/>
                <w:b w:val="0"/>
                <w:sz w:val="19"/>
              </w:rPr>
              <w:t>1. Awareness</w:t>
            </w:r>
          </w:p>
        </w:tc>
        <w:tc>
          <w:tcPr>
            <w:tcW w:type="dxa" w:w="3312"/>
            <w:vAlign w:val="center"/>
          </w:tcPr>
          <w:p>
            <w:pPr>
              <w:jc w:val="left"/>
            </w:pPr>
            <w:r/>
            <w:r>
              <w:rPr>
                <w:rFonts w:ascii="Aptos" w:hAnsi="Aptos"/>
                <w:b w:val="0"/>
                <w:sz w:val="19"/>
              </w:rPr>
              <w:t>Sees partner badge, bill prompt, counter QR, or receipt offer</w:t>
            </w:r>
          </w:p>
        </w:tc>
        <w:tc>
          <w:tcPr>
            <w:tcW w:type="dxa" w:w="3312"/>
            <w:vAlign w:val="center"/>
          </w:tcPr>
          <w:p>
            <w:pPr>
              <w:jc w:val="left"/>
            </w:pPr>
            <w:r/>
            <w:r>
              <w:rPr>
                <w:rFonts w:ascii="Aptos" w:hAnsi="Aptos"/>
                <w:b w:val="0"/>
                <w:sz w:val="19"/>
              </w:rPr>
              <w:t>Surfaces network presence without training burden</w:t>
            </w:r>
          </w:p>
        </w:tc>
      </w:tr>
      <w:tr>
        <w:tc>
          <w:tcPr>
            <w:tcW w:type="dxa" w:w="3312"/>
            <w:vAlign w:val="center"/>
          </w:tcPr>
          <w:p>
            <w:pPr>
              <w:jc w:val="left"/>
            </w:pPr>
            <w:r/>
            <w:r>
              <w:rPr>
                <w:rFonts w:ascii="Aptos" w:hAnsi="Aptos"/>
                <w:b w:val="0"/>
                <w:sz w:val="19"/>
              </w:rPr>
              <w:t>2. Entry</w:t>
            </w:r>
          </w:p>
        </w:tc>
        <w:tc>
          <w:tcPr>
            <w:tcW w:type="dxa" w:w="3312"/>
            <w:vAlign w:val="center"/>
          </w:tcPr>
          <w:p>
            <w:pPr>
              <w:jc w:val="left"/>
            </w:pPr>
            <w:r/>
            <w:r>
              <w:rPr>
                <w:rFonts w:ascii="Aptos" w:hAnsi="Aptos"/>
                <w:b w:val="0"/>
                <w:sz w:val="19"/>
              </w:rPr>
              <w:t>Scans QR; WhatsApp chat opens with prefilled hello or claim intent</w:t>
            </w:r>
          </w:p>
        </w:tc>
        <w:tc>
          <w:tcPr>
            <w:tcW w:type="dxa" w:w="3312"/>
            <w:vAlign w:val="center"/>
          </w:tcPr>
          <w:p>
            <w:pPr>
              <w:jc w:val="left"/>
            </w:pPr>
            <w:r/>
            <w:r>
              <w:rPr>
                <w:rFonts w:ascii="Aptos" w:hAnsi="Aptos"/>
                <w:b w:val="0"/>
                <w:sz w:val="19"/>
              </w:rPr>
              <w:t>Recognizes source outlet and customer context</w:t>
            </w:r>
          </w:p>
        </w:tc>
      </w:tr>
      <w:tr>
        <w:tc>
          <w:tcPr>
            <w:tcW w:type="dxa" w:w="3312"/>
            <w:vAlign w:val="center"/>
          </w:tcPr>
          <w:p>
            <w:pPr>
              <w:jc w:val="left"/>
            </w:pPr>
            <w:r/>
            <w:r>
              <w:rPr>
                <w:rFonts w:ascii="Aptos" w:hAnsi="Aptos"/>
                <w:b w:val="0"/>
                <w:sz w:val="19"/>
              </w:rPr>
              <w:t>3. Offer surfacing</w:t>
            </w:r>
          </w:p>
        </w:tc>
        <w:tc>
          <w:tcPr>
            <w:tcW w:type="dxa" w:w="3312"/>
            <w:vAlign w:val="center"/>
          </w:tcPr>
          <w:p>
            <w:pPr>
              <w:jc w:val="left"/>
            </w:pPr>
            <w:r/>
            <w:r>
              <w:rPr>
                <w:rFonts w:ascii="Aptos" w:hAnsi="Aptos"/>
                <w:b w:val="0"/>
                <w:sz w:val="19"/>
              </w:rPr>
              <w:t>Sees 2–3 relevant nearby perks, not a cluttered marketplace</w:t>
            </w:r>
          </w:p>
        </w:tc>
        <w:tc>
          <w:tcPr>
            <w:tcW w:type="dxa" w:w="3312"/>
            <w:vAlign w:val="center"/>
          </w:tcPr>
          <w:p>
            <w:pPr>
              <w:jc w:val="left"/>
            </w:pPr>
            <w:r/>
            <w:r>
              <w:rPr>
                <w:rFonts w:ascii="Aptos" w:hAnsi="Aptos"/>
                <w:b w:val="0"/>
                <w:sz w:val="19"/>
              </w:rPr>
              <w:t>Prioritizes context-specific offers and eligibility</w:t>
            </w:r>
          </w:p>
        </w:tc>
      </w:tr>
      <w:tr>
        <w:tc>
          <w:tcPr>
            <w:tcW w:type="dxa" w:w="3312"/>
            <w:vAlign w:val="center"/>
          </w:tcPr>
          <w:p>
            <w:pPr>
              <w:jc w:val="left"/>
            </w:pPr>
            <w:r/>
            <w:r>
              <w:rPr>
                <w:rFonts w:ascii="Aptos" w:hAnsi="Aptos"/>
                <w:b w:val="0"/>
                <w:sz w:val="19"/>
              </w:rPr>
              <w:t>4. Claim</w:t>
            </w:r>
          </w:p>
        </w:tc>
        <w:tc>
          <w:tcPr>
            <w:tcW w:type="dxa" w:w="3312"/>
            <w:vAlign w:val="center"/>
          </w:tcPr>
          <w:p>
            <w:pPr>
              <w:jc w:val="left"/>
            </w:pPr>
            <w:r/>
            <w:r>
              <w:rPr>
                <w:rFonts w:ascii="Aptos" w:hAnsi="Aptos"/>
                <w:b w:val="0"/>
                <w:sz w:val="19"/>
              </w:rPr>
              <w:t>Taps claim; receives code or dynamic QR</w:t>
            </w:r>
          </w:p>
        </w:tc>
        <w:tc>
          <w:tcPr>
            <w:tcW w:type="dxa" w:w="3312"/>
            <w:vAlign w:val="center"/>
          </w:tcPr>
          <w:p>
            <w:pPr>
              <w:jc w:val="left"/>
            </w:pPr>
            <w:r/>
            <w:r>
              <w:rPr>
                <w:rFonts w:ascii="Aptos" w:hAnsi="Aptos"/>
                <w:b w:val="0"/>
                <w:sz w:val="19"/>
              </w:rPr>
              <w:t>Locks validity window and logs claim</w:t>
            </w:r>
          </w:p>
        </w:tc>
      </w:tr>
      <w:tr>
        <w:tc>
          <w:tcPr>
            <w:tcW w:type="dxa" w:w="3312"/>
            <w:vAlign w:val="center"/>
          </w:tcPr>
          <w:p>
            <w:pPr>
              <w:jc w:val="left"/>
            </w:pPr>
            <w:r/>
            <w:r>
              <w:rPr>
                <w:rFonts w:ascii="Aptos" w:hAnsi="Aptos"/>
                <w:b w:val="0"/>
                <w:sz w:val="19"/>
              </w:rPr>
              <w:t>5. Redemption</w:t>
            </w:r>
          </w:p>
        </w:tc>
        <w:tc>
          <w:tcPr>
            <w:tcW w:type="dxa" w:w="3312"/>
            <w:vAlign w:val="center"/>
          </w:tcPr>
          <w:p>
            <w:pPr>
              <w:jc w:val="left"/>
            </w:pPr>
            <w:r/>
            <w:r>
              <w:rPr>
                <w:rFonts w:ascii="Aptos" w:hAnsi="Aptos"/>
                <w:b w:val="0"/>
                <w:sz w:val="19"/>
              </w:rPr>
              <w:t>Shows code at partner outlet; no wallet management required</w:t>
            </w:r>
          </w:p>
        </w:tc>
        <w:tc>
          <w:tcPr>
            <w:tcW w:type="dxa" w:w="3312"/>
            <w:vAlign w:val="center"/>
          </w:tcPr>
          <w:p>
            <w:pPr>
              <w:jc w:val="left"/>
            </w:pPr>
            <w:r/>
            <w:r>
              <w:rPr>
                <w:rFonts w:ascii="Aptos" w:hAnsi="Aptos"/>
                <w:b w:val="0"/>
                <w:sz w:val="19"/>
              </w:rPr>
              <w:t>Cashier validates and applies benefit</w:t>
            </w:r>
          </w:p>
        </w:tc>
      </w:tr>
      <w:tr>
        <w:tc>
          <w:tcPr>
            <w:tcW w:type="dxa" w:w="3312"/>
            <w:vAlign w:val="center"/>
          </w:tcPr>
          <w:p>
            <w:pPr>
              <w:jc w:val="left"/>
            </w:pPr>
            <w:r/>
            <w:r>
              <w:rPr>
                <w:rFonts w:ascii="Aptos" w:hAnsi="Aptos"/>
                <w:b w:val="0"/>
                <w:sz w:val="19"/>
              </w:rPr>
              <w:t>6. Follow-up</w:t>
            </w:r>
          </w:p>
        </w:tc>
        <w:tc>
          <w:tcPr>
            <w:tcW w:type="dxa" w:w="3312"/>
            <w:vAlign w:val="center"/>
          </w:tcPr>
          <w:p>
            <w:pPr>
              <w:jc w:val="left"/>
            </w:pPr>
            <w:r/>
            <w:r>
              <w:rPr>
                <w:rFonts w:ascii="Aptos" w:hAnsi="Aptos"/>
                <w:b w:val="0"/>
                <w:sz w:val="19"/>
              </w:rPr>
              <w:t>May receive light reminder or benefit summary</w:t>
            </w:r>
          </w:p>
        </w:tc>
        <w:tc>
          <w:tcPr>
            <w:tcW w:type="dxa" w:w="3312"/>
            <w:vAlign w:val="center"/>
          </w:tcPr>
          <w:p>
            <w:pPr>
              <w:jc w:val="left"/>
            </w:pPr>
            <w:r/>
            <w:r>
              <w:rPr>
                <w:rFonts w:ascii="Aptos" w:hAnsi="Aptos"/>
                <w:b w:val="0"/>
                <w:sz w:val="19"/>
              </w:rPr>
              <w:t>Supports later retention analysis</w:t>
            </w:r>
          </w:p>
        </w:tc>
      </w:tr>
    </w:tbl>
    <w:p/>
    <w:p>
      <w:pPr>
        <w:pStyle w:val="Heading2"/>
      </w:pPr>
      <w:r>
        <w:t>6.2 Ambient discovery</w:t>
      </w:r>
    </w:p>
    <w:p>
      <w:pPr>
        <w:ind w:left="288" w:hanging="259"/>
      </w:pPr>
      <w:r>
        <w:rPr>
          <w:b/>
        </w:rPr>
        <w:t xml:space="preserve">• </w:t>
      </w:r>
      <w:r>
        <w:t>Partner badge or sticker at every participating outlet.</w:t>
      </w:r>
    </w:p>
    <w:p>
      <w:pPr>
        <w:ind w:left="288" w:hanging="259"/>
      </w:pPr>
      <w:r>
        <w:rPr>
          <w:b/>
        </w:rPr>
        <w:t xml:space="preserve">• </w:t>
      </w:r>
      <w:r>
        <w:t>Counter standee or table tent for scan-based discovery.</w:t>
      </w:r>
    </w:p>
    <w:p>
      <w:pPr>
        <w:ind w:left="288" w:hanging="259"/>
      </w:pPr>
      <w:r>
        <w:rPr>
          <w:b/>
        </w:rPr>
        <w:t xml:space="preserve">• </w:t>
      </w:r>
      <w:r>
        <w:t>Cross-receipt branding that lists one or two nearby partner perks.</w:t>
      </w:r>
    </w:p>
    <w:p>
      <w:pPr>
        <w:ind w:left="288" w:hanging="259"/>
      </w:pPr>
      <w:r>
        <w:rPr>
          <w:b/>
        </w:rPr>
        <w:t xml:space="preserve">• </w:t>
      </w:r>
      <w:r>
        <w:t>Contextual WhatsApp prompts after a transaction or claim event.</w:t>
      </w:r>
    </w:p>
    <w:p>
      <w:pPr>
        <w:ind w:left="288" w:hanging="259"/>
      </w:pPr>
      <w:r>
        <w:rPr>
          <w:b/>
        </w:rPr>
        <w:t xml:space="preserve">• </w:t>
      </w:r>
      <w:r>
        <w:t>Optional later-phase geo-triggered nudges only with consent and strict frequency controls.</w:t>
      </w:r>
    </w:p>
    <w:p>
      <w:pPr>
        <w:pStyle w:val="Heading1"/>
      </w:pPr>
      <w:r>
        <w:t>7. Partnership Lifecycle Workflow</w:t>
      </w:r>
    </w:p>
    <w:tbl>
      <w:tblPr>
        <w:tblStyle w:val="TableGrid"/>
        <w:tblW w:type="auto" w:w="0"/>
        <w:jc w:val="center"/>
        <w:tblLook w:firstColumn="1" w:firstRow="1" w:lastColumn="0" w:lastRow="0" w:noHBand="0" w:noVBand="1" w:val="04A0"/>
      </w:tblPr>
      <w:tblGrid>
        <w:gridCol w:w="3312"/>
        <w:gridCol w:w="3312"/>
        <w:gridCol w:w="3312"/>
      </w:tblGrid>
      <w:tr>
        <w:tc>
          <w:tcPr>
            <w:tcW w:type="dxa" w:w="1296"/>
            <w:shd w:fill="DCE6F1"/>
            <w:vAlign w:val="center"/>
          </w:tcPr>
          <w:p>
            <w:pPr>
              <w:jc w:val="center"/>
            </w:pPr>
            <w:r/>
            <w:r>
              <w:rPr>
                <w:rFonts w:ascii="Aptos" w:hAnsi="Aptos"/>
                <w:b/>
                <w:color w:val="1D3557"/>
                <w:sz w:val="19"/>
              </w:rPr>
              <w:t>Stage</w:t>
            </w:r>
          </w:p>
        </w:tc>
        <w:tc>
          <w:tcPr>
            <w:tcW w:type="dxa" w:w="3024"/>
            <w:shd w:fill="DCE6F1"/>
            <w:vAlign w:val="center"/>
          </w:tcPr>
          <w:p>
            <w:pPr>
              <w:jc w:val="center"/>
            </w:pPr>
            <w:r/>
            <w:r>
              <w:rPr>
                <w:rFonts w:ascii="Aptos" w:hAnsi="Aptos"/>
                <w:b/>
                <w:color w:val="1D3557"/>
                <w:sz w:val="19"/>
              </w:rPr>
              <w:t>Goal</w:t>
            </w:r>
          </w:p>
        </w:tc>
        <w:tc>
          <w:tcPr>
            <w:tcW w:type="dxa" w:w="5184"/>
            <w:shd w:fill="DCE6F1"/>
            <w:vAlign w:val="center"/>
          </w:tcPr>
          <w:p>
            <w:pPr>
              <w:jc w:val="center"/>
            </w:pPr>
            <w:r/>
            <w:r>
              <w:rPr>
                <w:rFonts w:ascii="Aptos" w:hAnsi="Aptos"/>
                <w:b/>
                <w:color w:val="1D3557"/>
                <w:sz w:val="19"/>
              </w:rPr>
              <w:t>Output</w:t>
            </w:r>
          </w:p>
        </w:tc>
      </w:tr>
      <w:tr>
        <w:tc>
          <w:tcPr>
            <w:tcW w:type="dxa" w:w="3312"/>
            <w:vAlign w:val="center"/>
          </w:tcPr>
          <w:p>
            <w:pPr>
              <w:jc w:val="left"/>
            </w:pPr>
            <w:r/>
            <w:r>
              <w:rPr>
                <w:rFonts w:ascii="Aptos" w:hAnsi="Aptos"/>
                <w:b w:val="0"/>
                <w:sz w:val="19"/>
              </w:rPr>
              <w:t>1. Suggest</w:t>
            </w:r>
          </w:p>
        </w:tc>
        <w:tc>
          <w:tcPr>
            <w:tcW w:type="dxa" w:w="3312"/>
            <w:vAlign w:val="center"/>
          </w:tcPr>
          <w:p>
            <w:pPr>
              <w:jc w:val="left"/>
            </w:pPr>
            <w:r/>
            <w:r>
              <w:rPr>
                <w:rFonts w:ascii="Aptos" w:hAnsi="Aptos"/>
                <w:b w:val="0"/>
                <w:sz w:val="19"/>
              </w:rPr>
              <w:t>Show likely-fit partners automatically</w:t>
            </w:r>
          </w:p>
        </w:tc>
        <w:tc>
          <w:tcPr>
            <w:tcW w:type="dxa" w:w="3312"/>
            <w:vAlign w:val="center"/>
          </w:tcPr>
          <w:p>
            <w:pPr>
              <w:jc w:val="left"/>
            </w:pPr>
            <w:r/>
            <w:r>
              <w:rPr>
                <w:rFonts w:ascii="Aptos" w:hAnsi="Aptos"/>
                <w:b w:val="0"/>
                <w:sz w:val="19"/>
              </w:rPr>
              <w:t>3–5 suggested partners with fit rationale</w:t>
            </w:r>
          </w:p>
        </w:tc>
      </w:tr>
      <w:tr>
        <w:tc>
          <w:tcPr>
            <w:tcW w:type="dxa" w:w="3312"/>
            <w:vAlign w:val="center"/>
          </w:tcPr>
          <w:p>
            <w:pPr>
              <w:jc w:val="left"/>
            </w:pPr>
            <w:r/>
            <w:r>
              <w:rPr>
                <w:rFonts w:ascii="Aptos" w:hAnsi="Aptos"/>
                <w:b w:val="0"/>
                <w:sz w:val="19"/>
              </w:rPr>
              <w:t>2. Request</w:t>
            </w:r>
          </w:p>
        </w:tc>
        <w:tc>
          <w:tcPr>
            <w:tcW w:type="dxa" w:w="3312"/>
            <w:vAlign w:val="center"/>
          </w:tcPr>
          <w:p>
            <w:pPr>
              <w:jc w:val="left"/>
            </w:pPr>
            <w:r/>
            <w:r>
              <w:rPr>
                <w:rFonts w:ascii="Aptos" w:hAnsi="Aptos"/>
                <w:b w:val="0"/>
                <w:sz w:val="19"/>
              </w:rPr>
              <w:t>Initiate tie-up with basic scope and terms</w:t>
            </w:r>
          </w:p>
        </w:tc>
        <w:tc>
          <w:tcPr>
            <w:tcW w:type="dxa" w:w="3312"/>
            <w:vAlign w:val="center"/>
          </w:tcPr>
          <w:p>
            <w:pPr>
              <w:jc w:val="left"/>
            </w:pPr>
            <w:r/>
            <w:r>
              <w:rPr>
                <w:rFonts w:ascii="Aptos" w:hAnsi="Aptos"/>
                <w:b w:val="0"/>
                <w:sz w:val="19"/>
              </w:rPr>
              <w:t>Pending partnership proposal</w:t>
            </w:r>
          </w:p>
        </w:tc>
      </w:tr>
      <w:tr>
        <w:tc>
          <w:tcPr>
            <w:tcW w:type="dxa" w:w="3312"/>
            <w:vAlign w:val="center"/>
          </w:tcPr>
          <w:p>
            <w:pPr>
              <w:jc w:val="left"/>
            </w:pPr>
            <w:r/>
            <w:r>
              <w:rPr>
                <w:rFonts w:ascii="Aptos" w:hAnsi="Aptos"/>
                <w:b w:val="0"/>
                <w:sz w:val="19"/>
              </w:rPr>
              <w:t>3. Negotiate</w:t>
            </w:r>
          </w:p>
        </w:tc>
        <w:tc>
          <w:tcPr>
            <w:tcW w:type="dxa" w:w="3312"/>
            <w:vAlign w:val="center"/>
          </w:tcPr>
          <w:p>
            <w:pPr>
              <w:jc w:val="left"/>
            </w:pPr>
            <w:r/>
            <w:r>
              <w:rPr>
                <w:rFonts w:ascii="Aptos" w:hAnsi="Aptos"/>
                <w:b w:val="0"/>
                <w:sz w:val="19"/>
              </w:rPr>
              <w:t>Align on caps, outlets, dates, rules</w:t>
            </w:r>
          </w:p>
        </w:tc>
        <w:tc>
          <w:tcPr>
            <w:tcW w:type="dxa" w:w="3312"/>
            <w:vAlign w:val="center"/>
          </w:tcPr>
          <w:p>
            <w:pPr>
              <w:jc w:val="left"/>
            </w:pPr>
            <w:r/>
            <w:r>
              <w:rPr>
                <w:rFonts w:ascii="Aptos" w:hAnsi="Aptos"/>
                <w:b w:val="0"/>
                <w:sz w:val="19"/>
              </w:rPr>
              <w:t>Accepted draft structure</w:t>
            </w:r>
          </w:p>
        </w:tc>
      </w:tr>
      <w:tr>
        <w:tc>
          <w:tcPr>
            <w:tcW w:type="dxa" w:w="3312"/>
            <w:vAlign w:val="center"/>
          </w:tcPr>
          <w:p>
            <w:pPr>
              <w:jc w:val="left"/>
            </w:pPr>
            <w:r/>
            <w:r>
              <w:rPr>
                <w:rFonts w:ascii="Aptos" w:hAnsi="Aptos"/>
                <w:b w:val="0"/>
                <w:sz w:val="19"/>
              </w:rPr>
              <w:t>4. Formalize</w:t>
            </w:r>
          </w:p>
        </w:tc>
        <w:tc>
          <w:tcPr>
            <w:tcW w:type="dxa" w:w="3312"/>
            <w:vAlign w:val="center"/>
          </w:tcPr>
          <w:p>
            <w:pPr>
              <w:jc w:val="left"/>
            </w:pPr>
            <w:r/>
            <w:r>
              <w:rPr>
                <w:rFonts w:ascii="Aptos" w:hAnsi="Aptos"/>
                <w:b w:val="0"/>
                <w:sz w:val="19"/>
              </w:rPr>
              <w:t>Capture legal/commercial acceptance</w:t>
            </w:r>
          </w:p>
        </w:tc>
        <w:tc>
          <w:tcPr>
            <w:tcW w:type="dxa" w:w="3312"/>
            <w:vAlign w:val="center"/>
          </w:tcPr>
          <w:p>
            <w:pPr>
              <w:jc w:val="left"/>
            </w:pPr>
            <w:r/>
            <w:r>
              <w:rPr>
                <w:rFonts w:ascii="Aptos" w:hAnsi="Aptos"/>
                <w:b w:val="0"/>
                <w:sz w:val="19"/>
              </w:rPr>
              <w:t>Agreement-linked partnership record</w:t>
            </w:r>
          </w:p>
        </w:tc>
      </w:tr>
      <w:tr>
        <w:tc>
          <w:tcPr>
            <w:tcW w:type="dxa" w:w="3312"/>
            <w:vAlign w:val="center"/>
          </w:tcPr>
          <w:p>
            <w:pPr>
              <w:jc w:val="left"/>
            </w:pPr>
            <w:r/>
            <w:r>
              <w:rPr>
                <w:rFonts w:ascii="Aptos" w:hAnsi="Aptos"/>
                <w:b w:val="0"/>
                <w:sz w:val="19"/>
              </w:rPr>
              <w:t>5. Configure</w:t>
            </w:r>
          </w:p>
        </w:tc>
        <w:tc>
          <w:tcPr>
            <w:tcW w:type="dxa" w:w="3312"/>
            <w:vAlign w:val="center"/>
          </w:tcPr>
          <w:p>
            <w:pPr>
              <w:jc w:val="left"/>
            </w:pPr>
            <w:r/>
            <w:r>
              <w:rPr>
                <w:rFonts w:ascii="Aptos" w:hAnsi="Aptos"/>
                <w:b w:val="0"/>
                <w:sz w:val="19"/>
              </w:rPr>
              <w:t>Apply scenario template + tweak visible controls</w:t>
            </w:r>
          </w:p>
        </w:tc>
        <w:tc>
          <w:tcPr>
            <w:tcW w:type="dxa" w:w="3312"/>
            <w:vAlign w:val="center"/>
          </w:tcPr>
          <w:p>
            <w:pPr>
              <w:jc w:val="left"/>
            </w:pPr>
            <w:r/>
            <w:r>
              <w:rPr>
                <w:rFonts w:ascii="Aptos" w:hAnsi="Aptos"/>
                <w:b w:val="0"/>
                <w:sz w:val="19"/>
              </w:rPr>
              <w:t>Ready-to-test partnership</w:t>
            </w:r>
          </w:p>
        </w:tc>
      </w:tr>
      <w:tr>
        <w:tc>
          <w:tcPr>
            <w:tcW w:type="dxa" w:w="3312"/>
            <w:vAlign w:val="center"/>
          </w:tcPr>
          <w:p>
            <w:pPr>
              <w:jc w:val="left"/>
            </w:pPr>
            <w:r/>
            <w:r>
              <w:rPr>
                <w:rFonts w:ascii="Aptos" w:hAnsi="Aptos"/>
                <w:b w:val="0"/>
                <w:sz w:val="19"/>
              </w:rPr>
              <w:t>6. Train/Test</w:t>
            </w:r>
          </w:p>
        </w:tc>
        <w:tc>
          <w:tcPr>
            <w:tcW w:type="dxa" w:w="3312"/>
            <w:vAlign w:val="center"/>
          </w:tcPr>
          <w:p>
            <w:pPr>
              <w:jc w:val="left"/>
            </w:pPr>
            <w:r/>
            <w:r>
              <w:rPr>
                <w:rFonts w:ascii="Aptos" w:hAnsi="Aptos"/>
                <w:b w:val="0"/>
                <w:sz w:val="19"/>
              </w:rPr>
              <w:t>Enable staff and validate first-flow execution</w:t>
            </w:r>
          </w:p>
        </w:tc>
        <w:tc>
          <w:tcPr>
            <w:tcW w:type="dxa" w:w="3312"/>
            <w:vAlign w:val="center"/>
          </w:tcPr>
          <w:p>
            <w:pPr>
              <w:jc w:val="center"/>
            </w:pPr>
            <w:r/>
            <w:r>
              <w:rPr>
                <w:rFonts w:ascii="Aptos" w:hAnsi="Aptos"/>
                <w:b w:val="0"/>
                <w:sz w:val="19"/>
              </w:rPr>
              <w:t>Go-live readiness</w:t>
            </w:r>
          </w:p>
        </w:tc>
      </w:tr>
      <w:tr>
        <w:tc>
          <w:tcPr>
            <w:tcW w:type="dxa" w:w="3312"/>
            <w:vAlign w:val="center"/>
          </w:tcPr>
          <w:p>
            <w:pPr>
              <w:jc w:val="left"/>
            </w:pPr>
            <w:r/>
            <w:r>
              <w:rPr>
                <w:rFonts w:ascii="Aptos" w:hAnsi="Aptos"/>
                <w:b w:val="0"/>
                <w:sz w:val="19"/>
              </w:rPr>
              <w:t>7. Go live</w:t>
            </w:r>
          </w:p>
        </w:tc>
        <w:tc>
          <w:tcPr>
            <w:tcW w:type="dxa" w:w="3312"/>
            <w:vAlign w:val="center"/>
          </w:tcPr>
          <w:p>
            <w:pPr>
              <w:jc w:val="left"/>
            </w:pPr>
            <w:r/>
            <w:r>
              <w:rPr>
                <w:rFonts w:ascii="Aptos" w:hAnsi="Aptos"/>
                <w:b w:val="0"/>
                <w:sz w:val="19"/>
              </w:rPr>
              <w:t>Start claims and redemptions</w:t>
            </w:r>
          </w:p>
        </w:tc>
        <w:tc>
          <w:tcPr>
            <w:tcW w:type="dxa" w:w="3312"/>
            <w:vAlign w:val="center"/>
          </w:tcPr>
          <w:p>
            <w:pPr>
              <w:jc w:val="center"/>
            </w:pPr>
            <w:r/>
            <w:r>
              <w:rPr>
                <w:rFonts w:ascii="Aptos" w:hAnsi="Aptos"/>
                <w:b w:val="0"/>
                <w:sz w:val="19"/>
              </w:rPr>
              <w:t>Active partnership</w:t>
            </w:r>
          </w:p>
        </w:tc>
      </w:tr>
      <w:tr>
        <w:tc>
          <w:tcPr>
            <w:tcW w:type="dxa" w:w="3312"/>
            <w:vAlign w:val="center"/>
          </w:tcPr>
          <w:p>
            <w:pPr>
              <w:jc w:val="left"/>
            </w:pPr>
            <w:r/>
            <w:r>
              <w:rPr>
                <w:rFonts w:ascii="Aptos" w:hAnsi="Aptos"/>
                <w:b w:val="0"/>
                <w:sz w:val="19"/>
              </w:rPr>
              <w:t>8. Monitor</w:t>
            </w:r>
          </w:p>
        </w:tc>
        <w:tc>
          <w:tcPr>
            <w:tcW w:type="dxa" w:w="3312"/>
            <w:vAlign w:val="center"/>
          </w:tcPr>
          <w:p>
            <w:pPr>
              <w:jc w:val="left"/>
            </w:pPr>
            <w:r/>
            <w:r>
              <w:rPr>
                <w:rFonts w:ascii="Aptos" w:hAnsi="Aptos"/>
                <w:b w:val="0"/>
                <w:sz w:val="19"/>
              </w:rPr>
              <w:t>Track ROI, reciprocity, retention, dormancy</w:t>
            </w:r>
          </w:p>
        </w:tc>
        <w:tc>
          <w:tcPr>
            <w:tcW w:type="dxa" w:w="3312"/>
            <w:vAlign w:val="center"/>
          </w:tcPr>
          <w:p>
            <w:pPr>
              <w:jc w:val="left"/>
            </w:pPr>
            <w:r/>
            <w:r>
              <w:rPr>
                <w:rFonts w:ascii="Aptos" w:hAnsi="Aptos"/>
                <w:b w:val="0"/>
                <w:sz w:val="19"/>
              </w:rPr>
              <w:t>Actionable partnership health</w:t>
            </w:r>
          </w:p>
        </w:tc>
      </w:tr>
      <w:tr>
        <w:tc>
          <w:tcPr>
            <w:tcW w:type="dxa" w:w="3312"/>
            <w:vAlign w:val="center"/>
          </w:tcPr>
          <w:p>
            <w:pPr>
              <w:jc w:val="left"/>
            </w:pPr>
            <w:r/>
            <w:r>
              <w:rPr>
                <w:rFonts w:ascii="Aptos" w:hAnsi="Aptos"/>
                <w:b w:val="0"/>
                <w:sz w:val="19"/>
              </w:rPr>
              <w:t>9. Renew/Expand/Pause</w:t>
            </w:r>
          </w:p>
        </w:tc>
        <w:tc>
          <w:tcPr>
            <w:tcW w:type="dxa" w:w="3312"/>
            <w:vAlign w:val="center"/>
          </w:tcPr>
          <w:p>
            <w:pPr>
              <w:jc w:val="left"/>
            </w:pPr>
            <w:r/>
            <w:r>
              <w:rPr>
                <w:rFonts w:ascii="Aptos" w:hAnsi="Aptos"/>
                <w:b w:val="0"/>
                <w:sz w:val="19"/>
              </w:rPr>
              <w:t>Decide next action based on outcomes</w:t>
            </w:r>
          </w:p>
        </w:tc>
        <w:tc>
          <w:tcPr>
            <w:tcW w:type="dxa" w:w="3312"/>
            <w:vAlign w:val="center"/>
          </w:tcPr>
          <w:p>
            <w:pPr>
              <w:jc w:val="left"/>
            </w:pPr>
            <w:r/>
            <w:r>
              <w:rPr>
                <w:rFonts w:ascii="Aptos" w:hAnsi="Aptos"/>
                <w:b w:val="0"/>
                <w:sz w:val="19"/>
              </w:rPr>
              <w:t>Lifecycle progression</w:t>
            </w:r>
          </w:p>
        </w:tc>
      </w:tr>
    </w:tbl>
    <w:p/>
    <w:p>
      <w:pPr>
        <w:pStyle w:val="Heading2"/>
      </w:pPr>
      <w:r>
        <w:t>7.1 One-click activation ambition</w:t>
      </w:r>
    </w:p>
    <w:p>
      <w:pPr/>
      <w:r>
        <w:t>After the first onboarding experience, repeat tie-ups should increasingly feel one-click: system suggests partner, merchant chooses scenario template, agrees on default economics, and activates with minimal custom work.</w:t>
      </w:r>
    </w:p>
    <w:p>
      <w:pPr>
        <w:pStyle w:val="Heading1"/>
      </w:pPr>
      <w:r>
        <w:t>8. Rules Engine and Controlled Discount Bucket Logic</w:t>
      </w:r>
    </w:p>
    <w:p>
      <w:pPr/>
      <w:r>
        <w:t>The rules engine is the product’s commercial safety layer. Merchants should never feel that partner usage creates open-ended margin leakage. Every partnership should expose a controlled discount or benefit bucket with explicit ceilings.</w:t>
      </w:r>
    </w:p>
    <w:tbl>
      <w:tblPr>
        <w:tblStyle w:val="TableGrid"/>
        <w:tblW w:type="auto" w:w="0"/>
        <w:jc w:val="center"/>
        <w:tblLook w:firstColumn="1" w:firstRow="1" w:lastColumn="0" w:lastRow="0" w:noHBand="0" w:noVBand="1" w:val="04A0"/>
      </w:tblPr>
      <w:tblGrid>
        <w:gridCol w:w="4968"/>
        <w:gridCol w:w="4968"/>
      </w:tblGrid>
      <w:tr>
        <w:tc>
          <w:tcPr>
            <w:tcW w:type="dxa" w:w="2592"/>
            <w:shd w:fill="DCE6F1"/>
            <w:vAlign w:val="center"/>
          </w:tcPr>
          <w:p>
            <w:pPr>
              <w:jc w:val="center"/>
            </w:pPr>
            <w:r/>
            <w:r>
              <w:rPr>
                <w:rFonts w:ascii="Aptos" w:hAnsi="Aptos"/>
                <w:b/>
                <w:color w:val="1D3557"/>
                <w:sz w:val="19"/>
              </w:rPr>
              <w:t>Rule type</w:t>
            </w:r>
          </w:p>
        </w:tc>
        <w:tc>
          <w:tcPr>
            <w:tcW w:type="dxa" w:w="6624"/>
            <w:shd w:fill="DCE6F1"/>
            <w:vAlign w:val="center"/>
          </w:tcPr>
          <w:p>
            <w:pPr>
              <w:jc w:val="center"/>
            </w:pPr>
            <w:r/>
            <w:r>
              <w:rPr>
                <w:rFonts w:ascii="Aptos" w:hAnsi="Aptos"/>
                <w:b/>
                <w:color w:val="1D3557"/>
                <w:sz w:val="19"/>
              </w:rPr>
              <w:t>Examples</w:t>
            </w:r>
          </w:p>
        </w:tc>
      </w:tr>
      <w:tr>
        <w:tc>
          <w:tcPr>
            <w:tcW w:type="dxa" w:w="4968"/>
            <w:vAlign w:val="center"/>
          </w:tcPr>
          <w:p>
            <w:pPr>
              <w:jc w:val="left"/>
            </w:pPr>
            <w:r/>
            <w:r>
              <w:rPr>
                <w:rFonts w:ascii="Aptos" w:hAnsi="Aptos"/>
                <w:b w:val="0"/>
                <w:sz w:val="19"/>
              </w:rPr>
              <w:t>Per-transaction controls</w:t>
            </w:r>
          </w:p>
        </w:tc>
        <w:tc>
          <w:tcPr>
            <w:tcW w:type="dxa" w:w="4968"/>
            <w:vAlign w:val="center"/>
          </w:tcPr>
          <w:p>
            <w:pPr>
              <w:jc w:val="left"/>
            </w:pPr>
            <w:r/>
            <w:r>
              <w:rPr>
                <w:rFonts w:ascii="Aptos" w:hAnsi="Aptos"/>
                <w:b w:val="0"/>
                <w:sz w:val="19"/>
              </w:rPr>
              <w:t>Max amount, max % of bill, min bill threshold, one claim per bill</w:t>
            </w:r>
          </w:p>
        </w:tc>
      </w:tr>
      <w:tr>
        <w:tc>
          <w:tcPr>
            <w:tcW w:type="dxa" w:w="4968"/>
            <w:vAlign w:val="center"/>
          </w:tcPr>
          <w:p>
            <w:pPr>
              <w:jc w:val="left"/>
            </w:pPr>
            <w:r/>
            <w:r>
              <w:rPr>
                <w:rFonts w:ascii="Aptos" w:hAnsi="Aptos"/>
                <w:b w:val="0"/>
                <w:sz w:val="19"/>
              </w:rPr>
              <w:t>Monthly exposure controls</w:t>
            </w:r>
          </w:p>
        </w:tc>
        <w:tc>
          <w:tcPr>
            <w:tcW w:type="dxa" w:w="4968"/>
            <w:vAlign w:val="center"/>
          </w:tcPr>
          <w:p>
            <w:pPr>
              <w:jc w:val="left"/>
            </w:pPr>
            <w:r/>
            <w:r>
              <w:rPr>
                <w:rFonts w:ascii="Aptos" w:hAnsi="Aptos"/>
                <w:b w:val="0"/>
                <w:sz w:val="19"/>
              </w:rPr>
              <w:t>Global monthly cap, partner-level cap, outlet-level cap, campaign-period cap</w:t>
            </w:r>
          </w:p>
        </w:tc>
      </w:tr>
      <w:tr>
        <w:tc>
          <w:tcPr>
            <w:tcW w:type="dxa" w:w="4968"/>
            <w:vAlign w:val="center"/>
          </w:tcPr>
          <w:p>
            <w:pPr>
              <w:jc w:val="left"/>
            </w:pPr>
            <w:r/>
            <w:r>
              <w:rPr>
                <w:rFonts w:ascii="Aptos" w:hAnsi="Aptos"/>
                <w:b w:val="0"/>
                <w:sz w:val="19"/>
              </w:rPr>
              <w:t>Time controls</w:t>
            </w:r>
          </w:p>
        </w:tc>
        <w:tc>
          <w:tcPr>
            <w:tcW w:type="dxa" w:w="4968"/>
            <w:vAlign w:val="center"/>
          </w:tcPr>
          <w:p>
            <w:pPr>
              <w:jc w:val="left"/>
            </w:pPr>
            <w:r/>
            <w:r>
              <w:rPr>
                <w:rFonts w:ascii="Aptos" w:hAnsi="Aptos"/>
                <w:b w:val="0"/>
                <w:sz w:val="19"/>
              </w:rPr>
              <w:t>Start/end date, day-part rules, weekday rules, blackout dates, festive exclusions</w:t>
            </w:r>
          </w:p>
        </w:tc>
      </w:tr>
      <w:tr>
        <w:tc>
          <w:tcPr>
            <w:tcW w:type="dxa" w:w="4968"/>
            <w:vAlign w:val="center"/>
          </w:tcPr>
          <w:p>
            <w:pPr>
              <w:jc w:val="left"/>
            </w:pPr>
            <w:r/>
            <w:r>
              <w:rPr>
                <w:rFonts w:ascii="Aptos" w:hAnsi="Aptos"/>
                <w:b w:val="0"/>
                <w:sz w:val="19"/>
              </w:rPr>
              <w:t>Usage controls</w:t>
            </w:r>
          </w:p>
        </w:tc>
        <w:tc>
          <w:tcPr>
            <w:tcW w:type="dxa" w:w="4968"/>
            <w:vAlign w:val="center"/>
          </w:tcPr>
          <w:p>
            <w:pPr>
              <w:jc w:val="left"/>
            </w:pPr>
            <w:r/>
            <w:r>
              <w:rPr>
                <w:rFonts w:ascii="Aptos" w:hAnsi="Aptos"/>
                <w:b w:val="0"/>
                <w:sz w:val="19"/>
              </w:rPr>
              <w:t>Uses per customer, cooling period, first-time-only or limited recurring use</w:t>
            </w:r>
          </w:p>
        </w:tc>
      </w:tr>
      <w:tr>
        <w:tc>
          <w:tcPr>
            <w:tcW w:type="dxa" w:w="4968"/>
            <w:vAlign w:val="center"/>
          </w:tcPr>
          <w:p>
            <w:pPr>
              <w:jc w:val="left"/>
            </w:pPr>
            <w:r/>
            <w:r>
              <w:rPr>
                <w:rFonts w:ascii="Aptos" w:hAnsi="Aptos"/>
                <w:b w:val="0"/>
                <w:sz w:val="19"/>
              </w:rPr>
              <w:t>Eligibility controls</w:t>
            </w:r>
          </w:p>
        </w:tc>
        <w:tc>
          <w:tcPr>
            <w:tcW w:type="dxa" w:w="4968"/>
            <w:vAlign w:val="center"/>
          </w:tcPr>
          <w:p>
            <w:pPr>
              <w:jc w:val="left"/>
            </w:pPr>
            <w:r/>
            <w:r>
              <w:rPr>
                <w:rFonts w:ascii="Aptos" w:hAnsi="Aptos"/>
                <w:b w:val="0"/>
                <w:sz w:val="19"/>
              </w:rPr>
              <w:t>New / existing / reactivated rules, source partner restrictions, selected outlet scope</w:t>
            </w:r>
          </w:p>
        </w:tc>
      </w:tr>
      <w:tr>
        <w:tc>
          <w:tcPr>
            <w:tcW w:type="dxa" w:w="4968"/>
            <w:vAlign w:val="center"/>
          </w:tcPr>
          <w:p>
            <w:pPr>
              <w:jc w:val="left"/>
            </w:pPr>
            <w:r/>
            <w:r>
              <w:rPr>
                <w:rFonts w:ascii="Aptos" w:hAnsi="Aptos"/>
                <w:b w:val="0"/>
                <w:sz w:val="19"/>
              </w:rPr>
              <w:t>Approval controls</w:t>
            </w:r>
          </w:p>
        </w:tc>
        <w:tc>
          <w:tcPr>
            <w:tcW w:type="dxa" w:w="4968"/>
            <w:vAlign w:val="center"/>
          </w:tcPr>
          <w:p>
            <w:pPr>
              <w:jc w:val="left"/>
            </w:pPr>
            <w:r/>
            <w:r>
              <w:rPr>
                <w:rFonts w:ascii="Aptos" w:hAnsi="Aptos"/>
                <w:b w:val="0"/>
                <w:sz w:val="19"/>
              </w:rPr>
              <w:t>Customer approval required, OTP fallback, manager override thresholds</w:t>
            </w:r>
          </w:p>
        </w:tc>
      </w:tr>
      <w:tr>
        <w:tc>
          <w:tcPr>
            <w:tcW w:type="dxa" w:w="4968"/>
            <w:vAlign w:val="center"/>
          </w:tcPr>
          <w:p>
            <w:pPr>
              <w:jc w:val="left"/>
            </w:pPr>
            <w:r/>
            <w:r>
              <w:rPr>
                <w:rFonts w:ascii="Aptos" w:hAnsi="Aptos"/>
                <w:b w:val="0"/>
                <w:sz w:val="19"/>
              </w:rPr>
              <w:t>Stacking controls</w:t>
            </w:r>
          </w:p>
        </w:tc>
        <w:tc>
          <w:tcPr>
            <w:tcW w:type="dxa" w:w="4968"/>
            <w:vAlign w:val="center"/>
          </w:tcPr>
          <w:p>
            <w:pPr>
              <w:jc w:val="left"/>
            </w:pPr>
            <w:r/>
            <w:r>
              <w:rPr>
                <w:rFonts w:ascii="Aptos" w:hAnsi="Aptos"/>
                <w:b w:val="0"/>
                <w:sz w:val="19"/>
              </w:rPr>
              <w:t>Prevent double discounting or invalid combinations with other offers</w:t>
            </w:r>
          </w:p>
        </w:tc>
      </w:tr>
      <w:tr>
        <w:tc>
          <w:tcPr>
            <w:tcW w:type="dxa" w:w="4968"/>
            <w:vAlign w:val="center"/>
          </w:tcPr>
          <w:p>
            <w:pPr>
              <w:jc w:val="left"/>
            </w:pPr>
            <w:r/>
            <w:r>
              <w:rPr>
                <w:rFonts w:ascii="Aptos" w:hAnsi="Aptos"/>
                <w:b w:val="0"/>
                <w:sz w:val="19"/>
              </w:rPr>
              <w:t>Pause / safety controls</w:t>
            </w:r>
          </w:p>
        </w:tc>
        <w:tc>
          <w:tcPr>
            <w:tcW w:type="dxa" w:w="4968"/>
            <w:vAlign w:val="center"/>
          </w:tcPr>
          <w:p>
            <w:pPr>
              <w:jc w:val="left"/>
            </w:pPr>
            <w:r/>
            <w:r>
              <w:rPr>
                <w:rFonts w:ascii="Aptos" w:hAnsi="Aptos"/>
                <w:b w:val="0"/>
                <w:sz w:val="19"/>
              </w:rPr>
              <w:t>Emergency stop, cap exhaustion freeze, temporary outlet disable</w:t>
            </w:r>
          </w:p>
        </w:tc>
      </w:tr>
    </w:tbl>
    <w:p/>
    <w:p>
      <w:pPr>
        <w:pStyle w:val="Heading2"/>
      </w:pPr>
      <w:r>
        <w:t>8.1 Suggested commercial flavors</w:t>
      </w:r>
    </w:p>
    <w:p>
      <w:pPr>
        <w:ind w:left="288" w:hanging="259"/>
      </w:pPr>
      <w:r>
        <w:rPr>
          <w:b/>
        </w:rPr>
        <w:t xml:space="preserve">• </w:t>
      </w:r>
      <w:r>
        <w:t>Partner voucher acceptance: accept a capped amount or percent of bill from a partner benefit.</w:t>
      </w:r>
    </w:p>
    <w:p>
      <w:pPr>
        <w:ind w:left="288" w:hanging="259"/>
      </w:pPr>
      <w:r>
        <w:rPr>
          <w:b/>
        </w:rPr>
        <w:t xml:space="preserve">• </w:t>
      </w:r>
      <w:r>
        <w:t>Partner loyalty acceptance: allow limited use of source partner points or value under eWards-controlled conversion logic.</w:t>
      </w:r>
    </w:p>
    <w:p>
      <w:pPr>
        <w:ind w:left="288" w:hanging="259"/>
      </w:pPr>
      <w:r>
        <w:rPr>
          <w:b/>
        </w:rPr>
        <w:t xml:space="preserve">• </w:t>
      </w:r>
      <w:r>
        <w:t>Threshold trigger: partner value is valid only above a minimum bill level, protecting contribution margin.</w:t>
      </w:r>
    </w:p>
    <w:p>
      <w:pPr>
        <w:ind w:left="288" w:hanging="259"/>
      </w:pPr>
      <w:r>
        <w:rPr>
          <w:b/>
        </w:rPr>
        <w:t xml:space="preserve">• </w:t>
      </w:r>
      <w:r>
        <w:t>Peak / off-peak variant: higher partner cap during slow periods, lower cap during peak hours.</w:t>
      </w:r>
    </w:p>
    <w:p>
      <w:pPr>
        <w:pStyle w:val="Heading1"/>
      </w:pPr>
      <w:r>
        <w:t>9. Customer-Type Logic: New vs Existing vs Reactivated</w:t>
      </w:r>
    </w:p>
    <w:p>
      <w:pPr/>
      <w:r>
        <w:t>This logic is mandatory because merchants value customer types differently. Without it, merchants fear cannibalization: giving away margin to someone who would have visited anyway.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shd w:fill="DCE6F1"/>
            <w:vAlign w:val="center"/>
          </w:tcPr>
          <w:p>
            <w:pPr>
              <w:jc w:val="center"/>
            </w:pPr>
            <w:r/>
            <w:r>
              <w:rPr>
                <w:rFonts w:ascii="Aptos" w:hAnsi="Aptos"/>
                <w:b/>
                <w:color w:val="1D3557"/>
                <w:sz w:val="19"/>
              </w:rPr>
              <w:t>Customer type</w:t>
            </w:r>
          </w:p>
        </w:tc>
        <w:tc>
          <w:tcPr>
            <w:tcW w:type="dxa" w:w="3744"/>
            <w:shd w:fill="DCE6F1"/>
            <w:vAlign w:val="center"/>
          </w:tcPr>
          <w:p>
            <w:pPr>
              <w:jc w:val="center"/>
            </w:pPr>
            <w:r/>
            <w:r>
              <w:rPr>
                <w:rFonts w:ascii="Aptos" w:hAnsi="Aptos"/>
                <w:b/>
                <w:color w:val="1D3557"/>
                <w:sz w:val="19"/>
              </w:rPr>
              <w:t>Default business meaning</w:t>
            </w:r>
          </w:p>
        </w:tc>
        <w:tc>
          <w:tcPr>
            <w:tcW w:type="dxa" w:w="1872"/>
            <w:shd w:fill="DCE6F1"/>
            <w:vAlign w:val="center"/>
          </w:tcPr>
          <w:p>
            <w:pPr>
              <w:jc w:val="center"/>
            </w:pPr>
            <w:r/>
            <w:r>
              <w:rPr>
                <w:rFonts w:ascii="Aptos" w:hAnsi="Aptos"/>
                <w:b/>
                <w:color w:val="1D3557"/>
                <w:sz w:val="19"/>
              </w:rPr>
              <w:t>Recommended cap direction</w:t>
            </w:r>
          </w:p>
        </w:tc>
        <w:tc>
          <w:tcPr>
            <w:tcW w:type="dxa" w:w="1728"/>
            <w:shd w:fill="DCE6F1"/>
            <w:vAlign w:val="center"/>
          </w:tcPr>
          <w:p>
            <w:pPr>
              <w:jc w:val="center"/>
            </w:pPr>
            <w:r/>
            <w:r>
              <w:rPr>
                <w:rFonts w:ascii="Aptos" w:hAnsi="Aptos"/>
                <w:b/>
                <w:color w:val="1D3557"/>
                <w:sz w:val="19"/>
              </w:rPr>
              <w:t>Primary goal</w:t>
            </w:r>
          </w:p>
        </w:tc>
      </w:tr>
      <w:tr>
        <w:tc>
          <w:tcPr>
            <w:tcW w:type="dxa" w:w="2484"/>
            <w:vAlign w:val="center"/>
          </w:tcPr>
          <w:p>
            <w:pPr>
              <w:jc w:val="left"/>
            </w:pPr>
            <w:r/>
            <w:r>
              <w:rPr>
                <w:rFonts w:ascii="Aptos" w:hAnsi="Aptos"/>
                <w:b w:val="0"/>
                <w:sz w:val="19"/>
              </w:rPr>
              <w:t>New to my outlet</w:t>
            </w:r>
          </w:p>
        </w:tc>
        <w:tc>
          <w:tcPr>
            <w:tcW w:type="dxa" w:w="2484"/>
            <w:vAlign w:val="center"/>
          </w:tcPr>
          <w:p>
            <w:pPr>
              <w:jc w:val="left"/>
            </w:pPr>
            <w:r/>
            <w:r>
              <w:rPr>
                <w:rFonts w:ascii="Aptos" w:hAnsi="Aptos"/>
                <w:b w:val="0"/>
                <w:sz w:val="19"/>
              </w:rPr>
              <w:t>Never transacted at this outlet before</w:t>
            </w:r>
          </w:p>
        </w:tc>
        <w:tc>
          <w:tcPr>
            <w:tcW w:type="dxa" w:w="2484"/>
            <w:vAlign w:val="center"/>
          </w:tcPr>
          <w:p>
            <w:pPr>
              <w:jc w:val="center"/>
            </w:pPr>
            <w:r/>
            <w:r>
              <w:rPr>
                <w:rFonts w:ascii="Aptos" w:hAnsi="Aptos"/>
                <w:b w:val="0"/>
                <w:sz w:val="19"/>
              </w:rPr>
              <w:t>Higher</w:t>
            </w:r>
          </w:p>
        </w:tc>
        <w:tc>
          <w:tcPr>
            <w:tcW w:type="dxa" w:w="2484"/>
            <w:vAlign w:val="center"/>
          </w:tcPr>
          <w:p>
            <w:pPr>
              <w:jc w:val="center"/>
            </w:pPr>
            <w:r/>
            <w:r>
              <w:rPr>
                <w:rFonts w:ascii="Aptos" w:hAnsi="Aptos"/>
                <w:b w:val="0"/>
                <w:sz w:val="19"/>
              </w:rPr>
              <w:t>Acquisition</w:t>
            </w:r>
          </w:p>
        </w:tc>
      </w:tr>
      <w:tr>
        <w:tc>
          <w:tcPr>
            <w:tcW w:type="dxa" w:w="2484"/>
            <w:vAlign w:val="center"/>
          </w:tcPr>
          <w:p>
            <w:pPr>
              <w:jc w:val="left"/>
            </w:pPr>
            <w:r/>
            <w:r>
              <w:rPr>
                <w:rFonts w:ascii="Aptos" w:hAnsi="Aptos"/>
                <w:b w:val="0"/>
                <w:sz w:val="19"/>
              </w:rPr>
              <w:t>Existing active customer</w:t>
            </w:r>
          </w:p>
        </w:tc>
        <w:tc>
          <w:tcPr>
            <w:tcW w:type="dxa" w:w="2484"/>
            <w:vAlign w:val="center"/>
          </w:tcPr>
          <w:p>
            <w:pPr>
              <w:jc w:val="left"/>
            </w:pPr>
            <w:r/>
            <w:r>
              <w:rPr>
                <w:rFonts w:ascii="Aptos" w:hAnsi="Aptos"/>
                <w:b w:val="0"/>
                <w:sz w:val="19"/>
              </w:rPr>
              <w:t>Known customer with recent visits</w:t>
            </w:r>
          </w:p>
        </w:tc>
        <w:tc>
          <w:tcPr>
            <w:tcW w:type="dxa" w:w="2484"/>
            <w:vAlign w:val="center"/>
          </w:tcPr>
          <w:p>
            <w:pPr>
              <w:jc w:val="center"/>
            </w:pPr>
            <w:r/>
            <w:r>
              <w:rPr>
                <w:rFonts w:ascii="Aptos" w:hAnsi="Aptos"/>
                <w:b w:val="0"/>
                <w:sz w:val="19"/>
              </w:rPr>
              <w:t>Lower</w:t>
            </w:r>
          </w:p>
        </w:tc>
        <w:tc>
          <w:tcPr>
            <w:tcW w:type="dxa" w:w="2484"/>
            <w:vAlign w:val="center"/>
          </w:tcPr>
          <w:p>
            <w:pPr>
              <w:jc w:val="left"/>
            </w:pPr>
            <w:r/>
            <w:r>
              <w:rPr>
                <w:rFonts w:ascii="Aptos" w:hAnsi="Aptos"/>
                <w:b w:val="0"/>
                <w:sz w:val="19"/>
              </w:rPr>
              <w:t>Frequency / competitive defense</w:t>
            </w:r>
          </w:p>
        </w:tc>
      </w:tr>
      <w:tr>
        <w:tc>
          <w:tcPr>
            <w:tcW w:type="dxa" w:w="2484"/>
            <w:vAlign w:val="center"/>
          </w:tcPr>
          <w:p>
            <w:pPr>
              <w:jc w:val="left"/>
            </w:pPr>
            <w:r/>
            <w:r>
              <w:rPr>
                <w:rFonts w:ascii="Aptos" w:hAnsi="Aptos"/>
                <w:b w:val="0"/>
                <w:sz w:val="19"/>
              </w:rPr>
              <w:t>Reactivated customer</w:t>
            </w:r>
          </w:p>
        </w:tc>
        <w:tc>
          <w:tcPr>
            <w:tcW w:type="dxa" w:w="2484"/>
            <w:vAlign w:val="center"/>
          </w:tcPr>
          <w:p>
            <w:pPr>
              <w:jc w:val="left"/>
            </w:pPr>
            <w:r/>
            <w:r>
              <w:rPr>
                <w:rFonts w:ascii="Aptos" w:hAnsi="Aptos"/>
                <w:b w:val="0"/>
                <w:sz w:val="19"/>
              </w:rPr>
              <w:t>Visited before but inactive beyond threshold</w:t>
            </w:r>
          </w:p>
        </w:tc>
        <w:tc>
          <w:tcPr>
            <w:tcW w:type="dxa" w:w="2484"/>
            <w:vAlign w:val="center"/>
          </w:tcPr>
          <w:p>
            <w:pPr>
              <w:jc w:val="center"/>
            </w:pPr>
            <w:r/>
            <w:r>
              <w:rPr>
                <w:rFonts w:ascii="Aptos" w:hAnsi="Aptos"/>
                <w:b w:val="0"/>
                <w:sz w:val="19"/>
              </w:rPr>
              <w:t>Medium to high</w:t>
            </w:r>
          </w:p>
        </w:tc>
        <w:tc>
          <w:tcPr>
            <w:tcW w:type="dxa" w:w="2484"/>
            <w:vAlign w:val="center"/>
          </w:tcPr>
          <w:p>
            <w:pPr>
              <w:jc w:val="center"/>
            </w:pPr>
            <w:r/>
            <w:r>
              <w:rPr>
                <w:rFonts w:ascii="Aptos" w:hAnsi="Aptos"/>
                <w:b w:val="0"/>
                <w:sz w:val="19"/>
              </w:rPr>
              <w:t>Win-back</w:t>
            </w:r>
          </w:p>
        </w:tc>
      </w:tr>
    </w:tbl>
    <w:p/>
    <w:p>
      <w:pPr/>
      <w:r>
        <w:t>The UI should present this as a simple toggle-based section in setup rather than a complex segmentation engine. Advanced inactivity thresholds and custom definitions can exist behind the scenes or in advanced configuration.</w:t>
      </w:r>
    </w:p>
    <w:p>
      <w:pPr>
        <w:pStyle w:val="Heading1"/>
      </w:pPr>
      <w:r>
        <w:t>10. Attribution, Retention, and ROI Methodology</w:t>
      </w:r>
    </w:p>
    <w:p>
      <w:pPr/>
      <w:r>
        <w:t>Redemption counts are not enough. The renewal argument to merchants must be based on attributable customer movement and retained value. The system therefore needs explicit attribution logic that goes beyond transaction counts.</w:t>
      </w:r>
    </w:p>
    <w:p>
      <w:pPr>
        <w:pStyle w:val="Heading2"/>
      </w:pPr>
      <w:r>
        <w:t>10.1 Required attribution constructs</w:t>
      </w:r>
    </w:p>
    <w:p>
      <w:pPr>
        <w:ind w:left="288" w:hanging="259"/>
      </w:pPr>
      <w:r>
        <w:rPr>
          <w:b/>
        </w:rPr>
        <w:t xml:space="preserve">• </w:t>
      </w:r>
      <w:r>
        <w:t>First-visit-via-partnership flag: marks the first transaction at the redeeming outlet that was influenced by the partnership.</w:t>
      </w:r>
    </w:p>
    <w:p>
      <w:pPr>
        <w:ind w:left="288" w:hanging="259"/>
      </w:pPr>
      <w:r>
        <w:rPr>
          <w:b/>
        </w:rPr>
        <w:t xml:space="preserve">• </w:t>
      </w:r>
      <w:r>
        <w:t>Customer classification at redemption: new, existing, or reactivated.</w:t>
      </w:r>
    </w:p>
    <w:p>
      <w:pPr>
        <w:ind w:left="288" w:hanging="259"/>
      </w:pPr>
      <w:r>
        <w:rPr>
          <w:b/>
        </w:rPr>
        <w:t xml:space="preserve">• </w:t>
      </w:r>
      <w:r>
        <w:t>Source partner and source cluster attribution.</w:t>
      </w:r>
    </w:p>
    <w:p>
      <w:pPr>
        <w:ind w:left="288" w:hanging="259"/>
      </w:pPr>
      <w:r>
        <w:rPr>
          <w:b/>
        </w:rPr>
        <w:t xml:space="preserve">• </w:t>
      </w:r>
      <w:r>
        <w:t>30-day, 60-day, and 90-day follow-up behavior after first partnership-led visit.</w:t>
      </w:r>
    </w:p>
    <w:p>
      <w:pPr>
        <w:ind w:left="288" w:hanging="259"/>
      </w:pPr>
      <w:r>
        <w:rPr>
          <w:b/>
        </w:rPr>
        <w:t xml:space="preserve">• </w:t>
      </w:r>
      <w:r>
        <w:t>Comparison of partnership-acquired customers vs normal first-time customers where feasible.</w:t>
      </w:r>
    </w:p>
    <w:p>
      <w:pPr>
        <w:ind w:left="288" w:hanging="259"/>
      </w:pPr>
      <w:r>
        <w:rPr>
          <w:b/>
        </w:rPr>
        <w:t xml:space="preserve">• </w:t>
      </w:r>
      <w:r>
        <w:t>Revenue after first visit, not just discounted entry visit.</w:t>
      </w:r>
    </w:p>
    <w:p>
      <w:pPr>
        <w:pStyle w:val="Heading2"/>
      </w:pPr>
      <w:r>
        <w:t>10.2 Merchant renewal argument</w:t>
      </w:r>
    </w:p>
    <w:p>
      <w:pPr/>
      <w:r>
        <w:t>A strong renewal story should answer: how many new customers did the partnership bring, how many were retained after 90 days, what revenue did they generate beyond the first discounted visit, and what was the net value after partnership exposure.</w:t>
      </w:r>
    </w:p>
    <w:tbl>
      <w:tblPr>
        <w:tblStyle w:val="TableGrid"/>
        <w:tblW w:type="auto" w:w="0"/>
        <w:jc w:val="center"/>
        <w:tblLook w:firstColumn="1" w:firstRow="1" w:lastColumn="0" w:lastRow="0" w:noHBand="0" w:noVBand="1" w:val="04A0"/>
      </w:tblPr>
      <w:tblGrid>
        <w:gridCol w:w="4968"/>
        <w:gridCol w:w="4968"/>
      </w:tblGrid>
      <w:tr>
        <w:tc>
          <w:tcPr>
            <w:tcW w:type="dxa" w:w="3456"/>
            <w:shd w:fill="DCE6F1"/>
            <w:vAlign w:val="center"/>
          </w:tcPr>
          <w:p>
            <w:pPr>
              <w:jc w:val="center"/>
            </w:pPr>
            <w:r/>
            <w:r>
              <w:rPr>
                <w:rFonts w:ascii="Aptos" w:hAnsi="Aptos"/>
                <w:b/>
                <w:color w:val="1D3557"/>
                <w:sz w:val="19"/>
              </w:rPr>
              <w:t>Metric family</w:t>
            </w:r>
          </w:p>
        </w:tc>
        <w:tc>
          <w:tcPr>
            <w:tcW w:type="dxa" w:w="5760"/>
            <w:shd w:fill="DCE6F1"/>
            <w:vAlign w:val="center"/>
          </w:tcPr>
          <w:p>
            <w:pPr>
              <w:jc w:val="center"/>
            </w:pPr>
            <w:r/>
            <w:r>
              <w:rPr>
                <w:rFonts w:ascii="Aptos" w:hAnsi="Aptos"/>
                <w:b/>
                <w:color w:val="1D3557"/>
                <w:sz w:val="19"/>
              </w:rPr>
              <w:t>Merchant-facing interpretation</w:t>
            </w:r>
          </w:p>
        </w:tc>
      </w:tr>
      <w:tr>
        <w:tc>
          <w:tcPr>
            <w:tcW w:type="dxa" w:w="4968"/>
            <w:vAlign w:val="center"/>
          </w:tcPr>
          <w:p>
            <w:pPr>
              <w:jc w:val="left"/>
            </w:pPr>
            <w:r/>
            <w:r>
              <w:rPr>
                <w:rFonts w:ascii="Aptos" w:hAnsi="Aptos"/>
                <w:b w:val="0"/>
                <w:sz w:val="19"/>
              </w:rPr>
              <w:t>First-visit-via-partnership</w:t>
            </w:r>
          </w:p>
        </w:tc>
        <w:tc>
          <w:tcPr>
            <w:tcW w:type="dxa" w:w="4968"/>
            <w:vAlign w:val="center"/>
          </w:tcPr>
          <w:p>
            <w:pPr>
              <w:jc w:val="left"/>
            </w:pPr>
            <w:r/>
            <w:r>
              <w:rPr>
                <w:rFonts w:ascii="Aptos" w:hAnsi="Aptos"/>
                <w:b w:val="0"/>
                <w:sz w:val="19"/>
              </w:rPr>
              <w:t>How many customers were genuinely introduced by this tie-up</w:t>
            </w:r>
          </w:p>
        </w:tc>
      </w:tr>
      <w:tr>
        <w:tc>
          <w:tcPr>
            <w:tcW w:type="dxa" w:w="4968"/>
            <w:vAlign w:val="center"/>
          </w:tcPr>
          <w:p>
            <w:pPr>
              <w:jc w:val="left"/>
            </w:pPr>
            <w:r/>
            <w:r>
              <w:rPr>
                <w:rFonts w:ascii="Aptos" w:hAnsi="Aptos"/>
                <w:b w:val="0"/>
                <w:sz w:val="19"/>
              </w:rPr>
              <w:t>90-day retained customers</w:t>
            </w:r>
          </w:p>
        </w:tc>
        <w:tc>
          <w:tcPr>
            <w:tcW w:type="dxa" w:w="4968"/>
            <w:vAlign w:val="center"/>
          </w:tcPr>
          <w:p>
            <w:pPr>
              <w:jc w:val="left"/>
            </w:pPr>
            <w:r/>
            <w:r>
              <w:rPr>
                <w:rFonts w:ascii="Aptos" w:hAnsi="Aptos"/>
                <w:b w:val="0"/>
                <w:sz w:val="19"/>
              </w:rPr>
              <w:t>How many came back and therefore have long-term value</w:t>
            </w:r>
          </w:p>
        </w:tc>
      </w:tr>
      <w:tr>
        <w:tc>
          <w:tcPr>
            <w:tcW w:type="dxa" w:w="4968"/>
            <w:vAlign w:val="center"/>
          </w:tcPr>
          <w:p>
            <w:pPr>
              <w:jc w:val="left"/>
            </w:pPr>
            <w:r/>
            <w:r>
              <w:rPr>
                <w:rFonts w:ascii="Aptos" w:hAnsi="Aptos"/>
                <w:b w:val="0"/>
                <w:sz w:val="19"/>
              </w:rPr>
              <w:t>Repeat revenue after first visit</w:t>
            </w:r>
          </w:p>
        </w:tc>
        <w:tc>
          <w:tcPr>
            <w:tcW w:type="dxa" w:w="4968"/>
            <w:vAlign w:val="center"/>
          </w:tcPr>
          <w:p>
            <w:pPr>
              <w:jc w:val="left"/>
            </w:pPr>
            <w:r/>
            <w:r>
              <w:rPr>
                <w:rFonts w:ascii="Aptos" w:hAnsi="Aptos"/>
                <w:b w:val="0"/>
                <w:sz w:val="19"/>
              </w:rPr>
              <w:t>How much value was created after the initial discount</w:t>
            </w:r>
          </w:p>
        </w:tc>
      </w:tr>
      <w:tr>
        <w:tc>
          <w:tcPr>
            <w:tcW w:type="dxa" w:w="4968"/>
            <w:vAlign w:val="center"/>
          </w:tcPr>
          <w:p>
            <w:pPr>
              <w:jc w:val="left"/>
            </w:pPr>
            <w:r/>
            <w:r>
              <w:rPr>
                <w:rFonts w:ascii="Aptos" w:hAnsi="Aptos"/>
                <w:b w:val="0"/>
                <w:sz w:val="19"/>
              </w:rPr>
              <w:t>Effective acquisition cost</w:t>
            </w:r>
          </w:p>
        </w:tc>
        <w:tc>
          <w:tcPr>
            <w:tcW w:type="dxa" w:w="4968"/>
            <w:vAlign w:val="center"/>
          </w:tcPr>
          <w:p>
            <w:pPr>
              <w:jc w:val="left"/>
            </w:pPr>
            <w:r/>
            <w:r>
              <w:rPr>
                <w:rFonts w:ascii="Aptos" w:hAnsi="Aptos"/>
                <w:b w:val="0"/>
                <w:sz w:val="19"/>
              </w:rPr>
              <w:t>How much discount / benefit value was spent per retained customer</w:t>
            </w:r>
          </w:p>
        </w:tc>
      </w:tr>
      <w:tr>
        <w:tc>
          <w:tcPr>
            <w:tcW w:type="dxa" w:w="4968"/>
            <w:vAlign w:val="center"/>
          </w:tcPr>
          <w:p>
            <w:pPr>
              <w:jc w:val="left"/>
            </w:pPr>
            <w:r/>
            <w:r>
              <w:rPr>
                <w:rFonts w:ascii="Aptos" w:hAnsi="Aptos"/>
                <w:b w:val="0"/>
                <w:sz w:val="19"/>
              </w:rPr>
              <w:t>Net partnership contribution</w:t>
            </w:r>
          </w:p>
        </w:tc>
        <w:tc>
          <w:tcPr>
            <w:tcW w:type="dxa" w:w="4968"/>
            <w:vAlign w:val="center"/>
          </w:tcPr>
          <w:p>
            <w:pPr>
              <w:jc w:val="left"/>
            </w:pPr>
            <w:r/>
            <w:r>
              <w:rPr>
                <w:rFonts w:ascii="Aptos" w:hAnsi="Aptos"/>
                <w:b w:val="0"/>
                <w:sz w:val="19"/>
              </w:rPr>
              <w:t>Whether the tie-up is commercially worth renewing</w:t>
            </w:r>
          </w:p>
        </w:tc>
      </w:tr>
    </w:tbl>
    <w:p/>
    <w:p>
      <w:pPr>
        <w:pStyle w:val="Heading1"/>
      </w:pPr>
      <w:r>
        <w:t>11. Analytics, Dashboards, and North-Star Metrics</w:t>
      </w:r>
    </w:p>
    <w:p>
      <w:pPr>
        <w:pStyle w:val="Heading2"/>
      </w:pPr>
      <w:r>
        <w:t>11.1 Merchant ROI dashboard</w:t>
      </w:r>
    </w:p>
    <w:tbl>
      <w:tblPr>
        <w:tblStyle w:val="TableGrid"/>
        <w:tblW w:type="auto" w:w="0"/>
        <w:jc w:val="center"/>
        <w:tblLook w:firstColumn="1" w:firstRow="1" w:lastColumn="0" w:lastRow="0" w:noHBand="0" w:noVBand="1" w:val="04A0"/>
      </w:tblPr>
      <w:tblGrid>
        <w:gridCol w:w="4968"/>
        <w:gridCol w:w="4968"/>
      </w:tblGrid>
      <w:tr>
        <w:tc>
          <w:tcPr>
            <w:tcW w:type="dxa" w:w="3456"/>
            <w:shd w:fill="DCE6F1"/>
            <w:vAlign w:val="center"/>
          </w:tcPr>
          <w:p>
            <w:pPr>
              <w:jc w:val="center"/>
            </w:pPr>
            <w:r/>
            <w:r>
              <w:rPr>
                <w:rFonts w:ascii="Aptos" w:hAnsi="Aptos"/>
                <w:b/>
                <w:color w:val="1D3557"/>
                <w:sz w:val="19"/>
              </w:rPr>
              <w:t>Hero metric</w:t>
            </w:r>
          </w:p>
        </w:tc>
        <w:tc>
          <w:tcPr>
            <w:tcW w:type="dxa" w:w="5760"/>
            <w:shd w:fill="DCE6F1"/>
            <w:vAlign w:val="center"/>
          </w:tcPr>
          <w:p>
            <w:pPr>
              <w:jc w:val="center"/>
            </w:pPr>
            <w:r/>
            <w:r>
              <w:rPr>
                <w:rFonts w:ascii="Aptos" w:hAnsi="Aptos"/>
                <w:b/>
                <w:color w:val="1D3557"/>
                <w:sz w:val="19"/>
              </w:rPr>
              <w:t>Why it matters</w:t>
            </w:r>
          </w:p>
        </w:tc>
      </w:tr>
      <w:tr>
        <w:tc>
          <w:tcPr>
            <w:tcW w:type="dxa" w:w="4968"/>
            <w:vAlign w:val="center"/>
          </w:tcPr>
          <w:p>
            <w:pPr>
              <w:jc w:val="left"/>
            </w:pPr>
            <w:r/>
            <w:r>
              <w:rPr>
                <w:rFonts w:ascii="Aptos" w:hAnsi="Aptos"/>
                <w:b w:val="0"/>
                <w:sz w:val="19"/>
              </w:rPr>
              <w:t>Partnership-driven revenue</w:t>
            </w:r>
          </w:p>
        </w:tc>
        <w:tc>
          <w:tcPr>
            <w:tcW w:type="dxa" w:w="4968"/>
            <w:vAlign w:val="center"/>
          </w:tcPr>
          <w:p>
            <w:pPr>
              <w:jc w:val="left"/>
            </w:pPr>
            <w:r/>
            <w:r>
              <w:rPr>
                <w:rFonts w:ascii="Aptos" w:hAnsi="Aptos"/>
                <w:b w:val="0"/>
                <w:sz w:val="19"/>
              </w:rPr>
              <w:t>Immediate commercial output</w:t>
            </w:r>
          </w:p>
        </w:tc>
      </w:tr>
      <w:tr>
        <w:tc>
          <w:tcPr>
            <w:tcW w:type="dxa" w:w="4968"/>
            <w:vAlign w:val="center"/>
          </w:tcPr>
          <w:p>
            <w:pPr>
              <w:jc w:val="left"/>
            </w:pPr>
            <w:r/>
            <w:r>
              <w:rPr>
                <w:rFonts w:ascii="Aptos" w:hAnsi="Aptos"/>
                <w:b w:val="0"/>
                <w:sz w:val="19"/>
              </w:rPr>
              <w:t>First-time customers acquired</w:t>
            </w:r>
          </w:p>
        </w:tc>
        <w:tc>
          <w:tcPr>
            <w:tcW w:type="dxa" w:w="4968"/>
            <w:vAlign w:val="center"/>
          </w:tcPr>
          <w:p>
            <w:pPr>
              <w:jc w:val="left"/>
            </w:pPr>
            <w:r/>
            <w:r>
              <w:rPr>
                <w:rFonts w:ascii="Aptos" w:hAnsi="Aptos"/>
                <w:b w:val="0"/>
                <w:sz w:val="19"/>
              </w:rPr>
              <w:t>True acquisition signal</w:t>
            </w:r>
          </w:p>
        </w:tc>
      </w:tr>
      <w:tr>
        <w:tc>
          <w:tcPr>
            <w:tcW w:type="dxa" w:w="4968"/>
            <w:vAlign w:val="center"/>
          </w:tcPr>
          <w:p>
            <w:pPr>
              <w:jc w:val="left"/>
            </w:pPr>
            <w:r/>
            <w:r>
              <w:rPr>
                <w:rFonts w:ascii="Aptos" w:hAnsi="Aptos"/>
                <w:b w:val="0"/>
                <w:sz w:val="19"/>
              </w:rPr>
              <w:t>90-day retained customers</w:t>
            </w:r>
          </w:p>
        </w:tc>
        <w:tc>
          <w:tcPr>
            <w:tcW w:type="dxa" w:w="4968"/>
            <w:vAlign w:val="center"/>
          </w:tcPr>
          <w:p>
            <w:pPr>
              <w:jc w:val="left"/>
            </w:pPr>
            <w:r/>
            <w:r>
              <w:rPr>
                <w:rFonts w:ascii="Aptos" w:hAnsi="Aptos"/>
                <w:b w:val="0"/>
                <w:sz w:val="19"/>
              </w:rPr>
              <w:t>Renewal and long-term value signal</w:t>
            </w:r>
          </w:p>
        </w:tc>
      </w:tr>
      <w:tr>
        <w:tc>
          <w:tcPr>
            <w:tcW w:type="dxa" w:w="4968"/>
            <w:vAlign w:val="center"/>
          </w:tcPr>
          <w:p>
            <w:pPr>
              <w:jc w:val="left"/>
            </w:pPr>
            <w:r/>
            <w:r>
              <w:rPr>
                <w:rFonts w:ascii="Aptos" w:hAnsi="Aptos"/>
                <w:b w:val="0"/>
                <w:sz w:val="19"/>
              </w:rPr>
              <w:t>Partner value consumed</w:t>
            </w:r>
          </w:p>
        </w:tc>
        <w:tc>
          <w:tcPr>
            <w:tcW w:type="dxa" w:w="4968"/>
            <w:vAlign w:val="center"/>
          </w:tcPr>
          <w:p>
            <w:pPr>
              <w:jc w:val="left"/>
            </w:pPr>
            <w:r/>
            <w:r>
              <w:rPr>
                <w:rFonts w:ascii="Aptos" w:hAnsi="Aptos"/>
                <w:b w:val="0"/>
                <w:sz w:val="19"/>
              </w:rPr>
              <w:t>Exposure / cost visibility</w:t>
            </w:r>
          </w:p>
        </w:tc>
      </w:tr>
      <w:tr>
        <w:tc>
          <w:tcPr>
            <w:tcW w:type="dxa" w:w="4968"/>
            <w:vAlign w:val="center"/>
          </w:tcPr>
          <w:p>
            <w:pPr>
              <w:jc w:val="left"/>
            </w:pPr>
            <w:r/>
            <w:r>
              <w:rPr>
                <w:rFonts w:ascii="Aptos" w:hAnsi="Aptos"/>
                <w:b w:val="0"/>
                <w:sz w:val="19"/>
              </w:rPr>
              <w:t>Net estimated outcome</w:t>
            </w:r>
          </w:p>
        </w:tc>
        <w:tc>
          <w:tcPr>
            <w:tcW w:type="dxa" w:w="4968"/>
            <w:vAlign w:val="center"/>
          </w:tcPr>
          <w:p>
            <w:pPr>
              <w:jc w:val="left"/>
            </w:pPr>
            <w:r/>
            <w:r>
              <w:rPr>
                <w:rFonts w:ascii="Aptos" w:hAnsi="Aptos"/>
                <w:b w:val="0"/>
                <w:sz w:val="19"/>
              </w:rPr>
              <w:t>Simple gain/loss view</w:t>
            </w:r>
          </w:p>
        </w:tc>
      </w:tr>
      <w:tr>
        <w:tc>
          <w:tcPr>
            <w:tcW w:type="dxa" w:w="4968"/>
            <w:vAlign w:val="center"/>
          </w:tcPr>
          <w:p>
            <w:pPr>
              <w:jc w:val="left"/>
            </w:pPr>
            <w:r/>
            <w:r>
              <w:rPr>
                <w:rFonts w:ascii="Aptos" w:hAnsi="Aptos"/>
                <w:b w:val="0"/>
                <w:sz w:val="19"/>
              </w:rPr>
              <w:t>Reciprocity score</w:t>
            </w:r>
          </w:p>
        </w:tc>
        <w:tc>
          <w:tcPr>
            <w:tcW w:type="dxa" w:w="4968"/>
            <w:vAlign w:val="center"/>
          </w:tcPr>
          <w:p>
            <w:pPr>
              <w:jc w:val="left"/>
            </w:pPr>
            <w:r/>
            <w:r>
              <w:rPr>
                <w:rFonts w:ascii="Aptos" w:hAnsi="Aptos"/>
                <w:b w:val="0"/>
                <w:sz w:val="19"/>
              </w:rPr>
              <w:t>Whether the tie-up is balanced or one-sided</w:t>
            </w:r>
          </w:p>
        </w:tc>
      </w:tr>
    </w:tbl>
    <w:p/>
    <w:p>
      <w:pPr>
        <w:pStyle w:val="Heading2"/>
      </w:pPr>
      <w:r>
        <w:t>11.2 Network / business health metrics</w:t>
      </w:r>
    </w:p>
    <w:p>
      <w:pPr>
        <w:ind w:left="288" w:hanging="259"/>
      </w:pPr>
      <w:r>
        <w:rPr>
          <w:b/>
        </w:rPr>
        <w:t xml:space="preserve">• </w:t>
      </w:r>
      <w:r>
        <w:t>Cluster density is the north-star, not total enrolled merchants.</w:t>
      </w:r>
    </w:p>
    <w:p>
      <w:pPr>
        <w:ind w:left="288" w:hanging="259"/>
      </w:pPr>
      <w:r>
        <w:rPr>
          <w:b/>
        </w:rPr>
        <w:t xml:space="preserve">• </w:t>
      </w:r>
      <w:r>
        <w:t>Recommended primary metric: active participating merchants per sq km x cross-redemption rate.</w:t>
      </w:r>
    </w:p>
    <w:p>
      <w:pPr>
        <w:ind w:left="288" w:hanging="259"/>
      </w:pPr>
      <w:r>
        <w:rPr>
          <w:b/>
        </w:rPr>
        <w:t xml:space="preserve">• </w:t>
      </w:r>
      <w:r>
        <w:t>Supporting metrics: partnership activation rate, first-visit-via-partnership rate, claim-to-redemption conversion, and dormant outlet rate.</w:t>
      </w:r>
    </w:p>
    <w:p>
      <w:pPr>
        <w:ind w:left="288" w:hanging="259"/>
      </w:pPr>
      <w:r>
        <w:rPr>
          <w:b/>
        </w:rPr>
        <w:t xml:space="preserve">• </w:t>
      </w:r>
      <w:r>
        <w:t>Merchant count without activity should be considered a vanity metric.</w:t>
      </w:r>
    </w:p>
    <w:p>
      <w:pPr>
        <w:pStyle w:val="Heading2"/>
      </w:pPr>
      <w:r>
        <w:t>11.3 Suggested dashboards</w:t>
      </w:r>
    </w:p>
    <w:p>
      <w:pPr>
        <w:ind w:left="288" w:hanging="259"/>
      </w:pPr>
      <w:r>
        <w:rPr>
          <w:b/>
        </w:rPr>
        <w:t xml:space="preserve">• </w:t>
      </w:r>
      <w:r>
        <w:t>Merchant dashboard: ROI, acquisition mix, repeat behavior, cap utilization.</w:t>
      </w:r>
    </w:p>
    <w:p>
      <w:pPr>
        <w:ind w:left="288" w:hanging="259"/>
      </w:pPr>
      <w:r>
        <w:rPr>
          <w:b/>
        </w:rPr>
        <w:t xml:space="preserve">• </w:t>
      </w:r>
      <w:r>
        <w:t>Partnership dashboard: revenue, new customers, reciprocity, dormancy risk, outlet performance.</w:t>
      </w:r>
    </w:p>
    <w:p>
      <w:pPr>
        <w:ind w:left="288" w:hanging="259"/>
      </w:pPr>
      <w:r>
        <w:rPr>
          <w:b/>
        </w:rPr>
        <w:t xml:space="preserve">• </w:t>
      </w:r>
      <w:r>
        <w:t>Cluster dashboard: density, active zones, cross-redemption rate, best pairings, under-served sectors.</w:t>
      </w:r>
    </w:p>
    <w:p>
      <w:pPr>
        <w:ind w:left="288" w:hanging="259"/>
      </w:pPr>
      <w:r>
        <w:rPr>
          <w:b/>
        </w:rPr>
        <w:t xml:space="preserve">• </w:t>
      </w:r>
      <w:r>
        <w:t>Ops dashboard: onboarding pipeline, dormant partnerships, training gaps, failed redemptions, support exceptions.</w:t>
      </w:r>
    </w:p>
    <w:p>
      <w:pPr>
        <w:pStyle w:val="Heading1"/>
      </w:pPr>
      <w:r>
        <w:t>12. AI vs Non-AI Product Design Approach</w:t>
      </w:r>
    </w:p>
    <w:p>
      <w:pPr/>
      <w:r>
        <w:t>Most of the product should be deterministic, template-driven, and scenario-based rather than AI-led. Merchants will trust predefined logic more than open-ended AI in setup and execution.</w:t>
      </w:r>
    </w:p>
    <w:tbl>
      <w:tblPr>
        <w:tblStyle w:val="TableGrid"/>
        <w:tblW w:type="auto" w:w="0"/>
        <w:jc w:val="center"/>
        <w:tblLook w:firstColumn="1" w:firstRow="1" w:lastColumn="0" w:lastRow="0" w:noHBand="0" w:noVBand="1" w:val="04A0"/>
      </w:tblPr>
      <w:tblGrid>
        <w:gridCol w:w="4968"/>
        <w:gridCol w:w="4968"/>
      </w:tblGrid>
      <w:tr>
        <w:tc>
          <w:tcPr>
            <w:tcW w:type="dxa" w:w="4896"/>
            <w:shd w:fill="DCE6F1"/>
            <w:vAlign w:val="center"/>
          </w:tcPr>
          <w:p>
            <w:pPr>
              <w:jc w:val="center"/>
            </w:pPr>
            <w:r/>
            <w:r>
              <w:rPr>
                <w:rFonts w:ascii="Aptos" w:hAnsi="Aptos"/>
                <w:b/>
                <w:color w:val="1D3557"/>
                <w:sz w:val="19"/>
              </w:rPr>
              <w:t>Use prebuilt system logic for</w:t>
            </w:r>
          </w:p>
        </w:tc>
        <w:tc>
          <w:tcPr>
            <w:tcW w:type="dxa" w:w="4320"/>
            <w:shd w:fill="DCE6F1"/>
            <w:vAlign w:val="center"/>
          </w:tcPr>
          <w:p>
            <w:pPr>
              <w:jc w:val="center"/>
            </w:pPr>
            <w:r/>
            <w:r>
              <w:rPr>
                <w:rFonts w:ascii="Aptos" w:hAnsi="Aptos"/>
                <w:b/>
                <w:color w:val="1D3557"/>
                <w:sz w:val="19"/>
              </w:rPr>
              <w:t>Use AI selectively for</w:t>
            </w:r>
          </w:p>
        </w:tc>
      </w:tr>
      <w:tr>
        <w:tc>
          <w:tcPr>
            <w:tcW w:type="dxa" w:w="4968"/>
            <w:vAlign w:val="center"/>
          </w:tcPr>
          <w:p>
            <w:pPr>
              <w:jc w:val="left"/>
            </w:pPr>
            <w:r/>
            <w:r>
              <w:rPr>
                <w:rFonts w:ascii="Aptos" w:hAnsi="Aptos"/>
                <w:b w:val="0"/>
                <w:sz w:val="19"/>
              </w:rPr>
              <w:t>Scenario templates, sector defaults, cap suggestions, onboarding steps, reporting formats</w:t>
            </w:r>
          </w:p>
        </w:tc>
        <w:tc>
          <w:tcPr>
            <w:tcW w:type="dxa" w:w="4968"/>
            <w:vAlign w:val="center"/>
          </w:tcPr>
          <w:p>
            <w:pPr>
              <w:jc w:val="left"/>
            </w:pPr>
            <w:r/>
            <w:r>
              <w:rPr>
                <w:rFonts w:ascii="Aptos" w:hAnsi="Aptos"/>
                <w:b w:val="0"/>
                <w:sz w:val="19"/>
              </w:rPr>
              <w:t>Partner recommendations, fit explanations, partnership health summaries, renegotiation / expansion suggestions</w:t>
            </w:r>
          </w:p>
        </w:tc>
      </w:tr>
      <w:tr>
        <w:tc>
          <w:tcPr>
            <w:tcW w:type="dxa" w:w="4968"/>
            <w:vAlign w:val="center"/>
          </w:tcPr>
          <w:p>
            <w:pPr>
              <w:jc w:val="left"/>
            </w:pPr>
            <w:r/>
            <w:r>
              <w:rPr>
                <w:rFonts w:ascii="Aptos" w:hAnsi="Aptos"/>
                <w:b w:val="0"/>
                <w:sz w:val="19"/>
              </w:rPr>
              <w:t>Cashier execution, approval flow, fraud rules, statements, customer-type logic</w:t>
            </w:r>
          </w:p>
        </w:tc>
        <w:tc>
          <w:tcPr>
            <w:tcW w:type="dxa" w:w="4968"/>
            <w:vAlign w:val="center"/>
          </w:tcPr>
          <w:p>
            <w:pPr>
              <w:jc w:val="left"/>
            </w:pPr>
            <w:r/>
            <w:r>
              <w:rPr>
                <w:rFonts w:ascii="Aptos" w:hAnsi="Aptos"/>
                <w:b w:val="0"/>
                <w:sz w:val="19"/>
              </w:rPr>
              <w:t>Plain-language insight generation over dashboard outputs</w:t>
            </w:r>
          </w:p>
        </w:tc>
      </w:tr>
    </w:tbl>
    <w:p/>
    <w:p>
      <w:pPr/>
      <w:r>
        <w:t>Design rule: system-led setup, AI-led recommendation and insight.</w:t>
      </w:r>
    </w:p>
    <w:p>
      <w:pPr>
        <w:pStyle w:val="Heading1"/>
      </w:pPr>
      <w:r>
        <w:t>13. Technical Architecture</w:t>
      </w:r>
    </w:p>
    <w:p>
      <w:pPr/>
      <w:r>
        <w:t>A modular service design is recommended so the product can evolve from simple outlet-to-outlet tie-ups into more complex network structures without re-platforming.</w:t>
      </w:r>
    </w:p>
    <w:p>
      <w:pPr>
        <w:pStyle w:val="Heading2"/>
      </w:pPr>
      <w:r>
        <w:t>13.1 Suggested architecture layers</w:t>
      </w:r>
    </w:p>
    <w:tbl>
      <w:tblPr>
        <w:tblStyle w:val="TableGrid"/>
        <w:tblW w:type="auto" w:w="0"/>
        <w:jc w:val="center"/>
        <w:tblLook w:firstColumn="1" w:firstRow="1" w:lastColumn="0" w:lastRow="0" w:noHBand="0" w:noVBand="1" w:val="04A0"/>
      </w:tblPr>
      <w:tblGrid>
        <w:gridCol w:w="4968"/>
        <w:gridCol w:w="4968"/>
      </w:tblGrid>
      <w:tr>
        <w:tc>
          <w:tcPr>
            <w:tcW w:type="dxa" w:w="2592"/>
            <w:shd w:fill="DCE6F1"/>
            <w:vAlign w:val="center"/>
          </w:tcPr>
          <w:p>
            <w:pPr>
              <w:jc w:val="center"/>
            </w:pPr>
            <w:r/>
            <w:r>
              <w:rPr>
                <w:rFonts w:ascii="Aptos" w:hAnsi="Aptos"/>
                <w:b/>
                <w:color w:val="1D3557"/>
                <w:sz w:val="19"/>
              </w:rPr>
              <w:t>Layer</w:t>
            </w:r>
          </w:p>
        </w:tc>
        <w:tc>
          <w:tcPr>
            <w:tcW w:type="dxa" w:w="6624"/>
            <w:shd w:fill="DCE6F1"/>
            <w:vAlign w:val="center"/>
          </w:tcPr>
          <w:p>
            <w:pPr>
              <w:jc w:val="center"/>
            </w:pPr>
            <w:r/>
            <w:r>
              <w:rPr>
                <w:rFonts w:ascii="Aptos" w:hAnsi="Aptos"/>
                <w:b/>
                <w:color w:val="1D3557"/>
                <w:sz w:val="19"/>
              </w:rPr>
              <w:t>Responsibilities</w:t>
            </w:r>
          </w:p>
        </w:tc>
      </w:tr>
      <w:tr>
        <w:tc>
          <w:tcPr>
            <w:tcW w:type="dxa" w:w="4968"/>
            <w:vAlign w:val="center"/>
          </w:tcPr>
          <w:p>
            <w:pPr>
              <w:jc w:val="left"/>
            </w:pPr>
            <w:r/>
            <w:r>
              <w:rPr>
                <w:rFonts w:ascii="Aptos" w:hAnsi="Aptos"/>
                <w:b w:val="0"/>
                <w:sz w:val="19"/>
              </w:rPr>
              <w:t>Partner network core</w:t>
            </w:r>
          </w:p>
        </w:tc>
        <w:tc>
          <w:tcPr>
            <w:tcW w:type="dxa" w:w="4968"/>
            <w:vAlign w:val="center"/>
          </w:tcPr>
          <w:p>
            <w:pPr>
              <w:jc w:val="left"/>
            </w:pPr>
            <w:r/>
            <w:r>
              <w:rPr>
                <w:rFonts w:ascii="Aptos" w:hAnsi="Aptos"/>
                <w:b w:val="0"/>
                <w:sz w:val="19"/>
              </w:rPr>
              <w:t>Partnership entity, scope resolution, statuses, agreements, template assignment</w:t>
            </w:r>
          </w:p>
        </w:tc>
      </w:tr>
      <w:tr>
        <w:tc>
          <w:tcPr>
            <w:tcW w:type="dxa" w:w="4968"/>
            <w:vAlign w:val="center"/>
          </w:tcPr>
          <w:p>
            <w:pPr>
              <w:jc w:val="left"/>
            </w:pPr>
            <w:r/>
            <w:r>
              <w:rPr>
                <w:rFonts w:ascii="Aptos" w:hAnsi="Aptos"/>
                <w:b w:val="0"/>
                <w:sz w:val="19"/>
              </w:rPr>
              <w:t>Rule engine</w:t>
            </w:r>
          </w:p>
        </w:tc>
        <w:tc>
          <w:tcPr>
            <w:tcW w:type="dxa" w:w="4968"/>
            <w:vAlign w:val="center"/>
          </w:tcPr>
          <w:p>
            <w:pPr>
              <w:jc w:val="left"/>
            </w:pPr>
            <w:r/>
            <w:r>
              <w:rPr>
                <w:rFonts w:ascii="Aptos" w:hAnsi="Aptos"/>
                <w:b w:val="0"/>
                <w:sz w:val="19"/>
              </w:rPr>
              <w:t>Cap evaluation, eligibility, customer-type logic, exposure controls, blackout rules, stacking rules</w:t>
            </w:r>
          </w:p>
        </w:tc>
      </w:tr>
      <w:tr>
        <w:tc>
          <w:tcPr>
            <w:tcW w:type="dxa" w:w="4968"/>
            <w:vAlign w:val="center"/>
          </w:tcPr>
          <w:p>
            <w:pPr>
              <w:jc w:val="left"/>
            </w:pPr>
            <w:r/>
            <w:r>
              <w:rPr>
                <w:rFonts w:ascii="Aptos" w:hAnsi="Aptos"/>
                <w:b w:val="0"/>
                <w:sz w:val="19"/>
              </w:rPr>
              <w:t>Customer activation layer</w:t>
            </w:r>
          </w:p>
        </w:tc>
        <w:tc>
          <w:tcPr>
            <w:tcW w:type="dxa" w:w="4968"/>
            <w:vAlign w:val="center"/>
          </w:tcPr>
          <w:p>
            <w:pPr>
              <w:jc w:val="left"/>
            </w:pPr>
            <w:r/>
            <w:r>
              <w:rPr>
                <w:rFonts w:ascii="Aptos" w:hAnsi="Aptos"/>
                <w:b w:val="0"/>
                <w:sz w:val="19"/>
              </w:rPr>
              <w:t>QR routing, WhatsApp claim flow, token generation, validity windows</w:t>
            </w:r>
          </w:p>
        </w:tc>
      </w:tr>
      <w:tr>
        <w:tc>
          <w:tcPr>
            <w:tcW w:type="dxa" w:w="4968"/>
            <w:vAlign w:val="center"/>
          </w:tcPr>
          <w:p>
            <w:pPr>
              <w:jc w:val="left"/>
            </w:pPr>
            <w:r/>
            <w:r>
              <w:rPr>
                <w:rFonts w:ascii="Aptos" w:hAnsi="Aptos"/>
                <w:b w:val="0"/>
                <w:sz w:val="19"/>
              </w:rPr>
              <w:t>Execution layer</w:t>
            </w:r>
          </w:p>
        </w:tc>
        <w:tc>
          <w:tcPr>
            <w:tcW w:type="dxa" w:w="4968"/>
            <w:vAlign w:val="center"/>
          </w:tcPr>
          <w:p>
            <w:pPr>
              <w:jc w:val="left"/>
            </w:pPr>
            <w:r/>
            <w:r>
              <w:rPr>
                <w:rFonts w:ascii="Aptos" w:hAnsi="Aptos"/>
                <w:b w:val="0"/>
                <w:sz w:val="19"/>
              </w:rPr>
              <w:t>Cashier lookup, approval verification, redemption validation, duplicate protection</w:t>
            </w:r>
          </w:p>
        </w:tc>
      </w:tr>
      <w:tr>
        <w:tc>
          <w:tcPr>
            <w:tcW w:type="dxa" w:w="4968"/>
            <w:vAlign w:val="center"/>
          </w:tcPr>
          <w:p>
            <w:pPr>
              <w:jc w:val="left"/>
            </w:pPr>
            <w:r/>
            <w:r>
              <w:rPr>
                <w:rFonts w:ascii="Aptos" w:hAnsi="Aptos"/>
                <w:b w:val="0"/>
                <w:sz w:val="19"/>
              </w:rPr>
              <w:t>Ledger and audit layer</w:t>
            </w:r>
          </w:p>
        </w:tc>
        <w:tc>
          <w:tcPr>
            <w:tcW w:type="dxa" w:w="4968"/>
            <w:vAlign w:val="center"/>
          </w:tcPr>
          <w:p>
            <w:pPr>
              <w:jc w:val="left"/>
            </w:pPr>
            <w:r/>
            <w:r>
              <w:rPr>
                <w:rFonts w:ascii="Aptos" w:hAnsi="Aptos"/>
                <w:b w:val="0"/>
                <w:sz w:val="19"/>
              </w:rPr>
              <w:t>Virtual ledger entries, transaction snapshots, statements, reversals, dispute support</w:t>
            </w:r>
          </w:p>
        </w:tc>
      </w:tr>
      <w:tr>
        <w:tc>
          <w:tcPr>
            <w:tcW w:type="dxa" w:w="4968"/>
            <w:vAlign w:val="center"/>
          </w:tcPr>
          <w:p>
            <w:pPr>
              <w:jc w:val="left"/>
            </w:pPr>
            <w:r/>
            <w:r>
              <w:rPr>
                <w:rFonts w:ascii="Aptos" w:hAnsi="Aptos"/>
                <w:b w:val="0"/>
                <w:sz w:val="19"/>
              </w:rPr>
              <w:t>Analytics layer</w:t>
            </w:r>
          </w:p>
        </w:tc>
        <w:tc>
          <w:tcPr>
            <w:tcW w:type="dxa" w:w="4968"/>
            <w:vAlign w:val="center"/>
          </w:tcPr>
          <w:p>
            <w:pPr>
              <w:jc w:val="left"/>
            </w:pPr>
            <w:r/>
            <w:r>
              <w:rPr>
                <w:rFonts w:ascii="Aptos" w:hAnsi="Aptos"/>
                <w:b w:val="0"/>
                <w:sz w:val="19"/>
              </w:rPr>
              <w:t>Attribution, retention, cluster metrics, ROI and reciprocity calculations</w:t>
            </w:r>
          </w:p>
        </w:tc>
      </w:tr>
      <w:tr>
        <w:tc>
          <w:tcPr>
            <w:tcW w:type="dxa" w:w="4968"/>
            <w:vAlign w:val="center"/>
          </w:tcPr>
          <w:p>
            <w:pPr>
              <w:jc w:val="left"/>
            </w:pPr>
            <w:r/>
            <w:r>
              <w:rPr>
                <w:rFonts w:ascii="Aptos" w:hAnsi="Aptos"/>
                <w:b w:val="0"/>
                <w:sz w:val="19"/>
              </w:rPr>
              <w:t>Ops and enablement layer</w:t>
            </w:r>
          </w:p>
        </w:tc>
        <w:tc>
          <w:tcPr>
            <w:tcW w:type="dxa" w:w="4968"/>
            <w:vAlign w:val="center"/>
          </w:tcPr>
          <w:p>
            <w:pPr>
              <w:jc w:val="left"/>
            </w:pPr>
            <w:r/>
            <w:r>
              <w:rPr>
                <w:rFonts w:ascii="Aptos" w:hAnsi="Aptos"/>
                <w:b w:val="0"/>
                <w:sz w:val="19"/>
              </w:rPr>
              <w:t>Training prompts, dormancy recovery, onboarding checklist, support flags</w:t>
            </w:r>
          </w:p>
        </w:tc>
      </w:tr>
    </w:tbl>
    <w:p/>
    <w:p>
      <w:pPr>
        <w:pStyle w:val="Heading2"/>
      </w:pPr>
      <w:r>
        <w:t>13.2 Integration expectations</w:t>
      </w:r>
    </w:p>
    <w:p>
      <w:pPr>
        <w:ind w:left="288" w:hanging="259"/>
      </w:pPr>
      <w:r>
        <w:rPr>
          <w:b/>
        </w:rPr>
        <w:t xml:space="preserve">• </w:t>
      </w:r>
      <w:r>
        <w:t>Use existing eWards loyalty, coupon, wallet, merchant, outlet, and approval modules where feasible.</w:t>
      </w:r>
    </w:p>
    <w:p>
      <w:pPr>
        <w:ind w:left="288" w:hanging="259"/>
      </w:pPr>
      <w:r>
        <w:rPr>
          <w:b/>
        </w:rPr>
        <w:t xml:space="preserve">• </w:t>
      </w:r>
      <w:r>
        <w:t>Keep partnership logic as a distinct bounded context rather than scattering fields across unrelated modules.</w:t>
      </w:r>
    </w:p>
    <w:p>
      <w:pPr>
        <w:ind w:left="288" w:hanging="259"/>
      </w:pPr>
      <w:r>
        <w:rPr>
          <w:b/>
        </w:rPr>
        <w:t xml:space="preserve">• </w:t>
      </w:r>
      <w:r>
        <w:t>Log all material actions through an auditable event trail.</w:t>
      </w:r>
    </w:p>
    <w:p>
      <w:pPr>
        <w:ind w:left="288" w:hanging="259"/>
      </w:pPr>
      <w:r>
        <w:rPr>
          <w:b/>
        </w:rPr>
        <w:t xml:space="preserve">• </w:t>
      </w:r>
      <w:r>
        <w:t>Keep customer claim tokens and cashier redemption validation fast and idempotent.</w:t>
      </w:r>
    </w:p>
    <w:p>
      <w:pPr>
        <w:pStyle w:val="Heading1"/>
      </w:pPr>
      <w:r>
        <w:t>14. Data Model and Entity Definitions</w:t>
      </w:r>
    </w:p>
    <w:p>
      <w:pPr/>
      <w:r>
        <w:t>The product should have a proper partnership-centric data model rather than a loose collection of flags. This makes scope, economics, auditability, and lifecycle management far more reliable.</w:t>
      </w:r>
    </w:p>
    <w:p>
      <w:pPr>
        <w:pStyle w:val="Heading2"/>
      </w:pPr>
      <w:r>
        <w:t>14.1 Core entities</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DCE6F1"/>
            <w:vAlign w:val="center"/>
          </w:tcPr>
          <w:p>
            <w:pPr>
              <w:jc w:val="center"/>
            </w:pPr>
            <w:r/>
            <w:r>
              <w:rPr>
                <w:rFonts w:ascii="Aptos" w:hAnsi="Aptos"/>
                <w:b/>
                <w:color w:val="1D3557"/>
                <w:sz w:val="19"/>
              </w:rPr>
              <w:t>Entity</w:t>
            </w:r>
          </w:p>
        </w:tc>
        <w:tc>
          <w:tcPr>
            <w:tcW w:type="dxa" w:w="2592"/>
            <w:shd w:fill="DCE6F1"/>
            <w:vAlign w:val="center"/>
          </w:tcPr>
          <w:p>
            <w:pPr>
              <w:jc w:val="center"/>
            </w:pPr>
            <w:r/>
            <w:r>
              <w:rPr>
                <w:rFonts w:ascii="Aptos" w:hAnsi="Aptos"/>
                <w:b/>
                <w:color w:val="1D3557"/>
                <w:sz w:val="19"/>
              </w:rPr>
              <w:t>Purpose</w:t>
            </w:r>
          </w:p>
        </w:tc>
        <w:tc>
          <w:tcPr>
            <w:tcW w:type="dxa" w:w="4320"/>
            <w:shd w:fill="DCE6F1"/>
            <w:vAlign w:val="center"/>
          </w:tcPr>
          <w:p>
            <w:pPr>
              <w:jc w:val="center"/>
            </w:pPr>
            <w:r/>
            <w:r>
              <w:rPr>
                <w:rFonts w:ascii="Aptos" w:hAnsi="Aptos"/>
                <w:b/>
                <w:color w:val="1D3557"/>
                <w:sz w:val="19"/>
              </w:rPr>
              <w:t>Key fields / notes</w:t>
            </w:r>
          </w:p>
        </w:tc>
      </w:tr>
      <w:tr>
        <w:tc>
          <w:tcPr>
            <w:tcW w:type="dxa" w:w="3312"/>
            <w:vAlign w:val="center"/>
          </w:tcPr>
          <w:p>
            <w:pPr>
              <w:jc w:val="left"/>
            </w:pPr>
            <w:r/>
            <w:r>
              <w:rPr>
                <w:rFonts w:ascii="Aptos" w:hAnsi="Aptos"/>
                <w:b w:val="0"/>
                <w:sz w:val="19"/>
              </w:rPr>
              <w:t>partnerships</w:t>
            </w:r>
          </w:p>
        </w:tc>
        <w:tc>
          <w:tcPr>
            <w:tcW w:type="dxa" w:w="3312"/>
            <w:vAlign w:val="center"/>
          </w:tcPr>
          <w:p>
            <w:pPr>
              <w:jc w:val="left"/>
            </w:pPr>
            <w:r/>
            <w:r>
              <w:rPr>
                <w:rFonts w:ascii="Aptos" w:hAnsi="Aptos"/>
                <w:b w:val="0"/>
                <w:sz w:val="19"/>
              </w:rPr>
              <w:t>Primary partnership record</w:t>
            </w:r>
          </w:p>
        </w:tc>
        <w:tc>
          <w:tcPr>
            <w:tcW w:type="dxa" w:w="3312"/>
            <w:vAlign w:val="center"/>
          </w:tcPr>
          <w:p>
            <w:pPr>
              <w:jc w:val="left"/>
            </w:pPr>
            <w:r/>
            <w:r>
              <w:rPr>
                <w:rFonts w:ascii="Aptos" w:hAnsi="Aptos"/>
                <w:b w:val="0"/>
                <w:sz w:val="19"/>
              </w:rPr>
              <w:t>name, scope_type, status, template_id, start_at, end_at, agreement_id</w:t>
            </w:r>
          </w:p>
        </w:tc>
      </w:tr>
      <w:tr>
        <w:tc>
          <w:tcPr>
            <w:tcW w:type="dxa" w:w="3312"/>
            <w:vAlign w:val="center"/>
          </w:tcPr>
          <w:p>
            <w:pPr>
              <w:jc w:val="left"/>
            </w:pPr>
            <w:r/>
            <w:r>
              <w:rPr>
                <w:rFonts w:ascii="Aptos" w:hAnsi="Aptos"/>
                <w:b w:val="0"/>
                <w:sz w:val="19"/>
              </w:rPr>
              <w:t>partnership_participants</w:t>
            </w:r>
          </w:p>
        </w:tc>
        <w:tc>
          <w:tcPr>
            <w:tcW w:type="dxa" w:w="3312"/>
            <w:vAlign w:val="center"/>
          </w:tcPr>
          <w:p>
            <w:pPr>
              <w:jc w:val="left"/>
            </w:pPr>
            <w:r/>
            <w:r>
              <w:rPr>
                <w:rFonts w:ascii="Aptos" w:hAnsi="Aptos"/>
                <w:b w:val="0"/>
                <w:sz w:val="19"/>
              </w:rPr>
              <w:t>Who is in the tie-up</w:t>
            </w:r>
          </w:p>
        </w:tc>
        <w:tc>
          <w:tcPr>
            <w:tcW w:type="dxa" w:w="3312"/>
            <w:vAlign w:val="center"/>
          </w:tcPr>
          <w:p>
            <w:pPr>
              <w:jc w:val="left"/>
            </w:pPr>
            <w:r/>
            <w:r>
              <w:rPr>
                <w:rFonts w:ascii="Aptos" w:hAnsi="Aptos"/>
                <w:b w:val="0"/>
                <w:sz w:val="19"/>
              </w:rPr>
              <w:t>merchant_id, outlet_id, role, approval_status</w:t>
            </w:r>
          </w:p>
        </w:tc>
      </w:tr>
      <w:tr>
        <w:tc>
          <w:tcPr>
            <w:tcW w:type="dxa" w:w="3312"/>
            <w:vAlign w:val="center"/>
          </w:tcPr>
          <w:p>
            <w:pPr>
              <w:jc w:val="left"/>
            </w:pPr>
            <w:r/>
            <w:r>
              <w:rPr>
                <w:rFonts w:ascii="Aptos" w:hAnsi="Aptos"/>
                <w:b w:val="0"/>
                <w:sz w:val="19"/>
              </w:rPr>
              <w:t>partnership_terms</w:t>
            </w:r>
          </w:p>
        </w:tc>
        <w:tc>
          <w:tcPr>
            <w:tcW w:type="dxa" w:w="3312"/>
            <w:vAlign w:val="center"/>
          </w:tcPr>
          <w:p>
            <w:pPr>
              <w:jc w:val="left"/>
            </w:pPr>
            <w:r/>
            <w:r>
              <w:rPr>
                <w:rFonts w:ascii="Aptos" w:hAnsi="Aptos"/>
                <w:b w:val="0"/>
                <w:sz w:val="19"/>
              </w:rPr>
              <w:t>Commercial and visible setup terms</w:t>
            </w:r>
          </w:p>
        </w:tc>
        <w:tc>
          <w:tcPr>
            <w:tcW w:type="dxa" w:w="3312"/>
            <w:vAlign w:val="center"/>
          </w:tcPr>
          <w:p>
            <w:pPr>
              <w:jc w:val="left"/>
            </w:pPr>
            <w:r/>
            <w:r>
              <w:rPr>
                <w:rFonts w:ascii="Aptos" w:hAnsi="Aptos"/>
                <w:b w:val="0"/>
                <w:sz w:val="19"/>
              </w:rPr>
              <w:t>per_bill_cap, percent_cap, min_bill, monthly_cap, approval_mode</w:t>
            </w:r>
          </w:p>
        </w:tc>
      </w:tr>
      <w:tr>
        <w:tc>
          <w:tcPr>
            <w:tcW w:type="dxa" w:w="3312"/>
            <w:vAlign w:val="center"/>
          </w:tcPr>
          <w:p>
            <w:pPr>
              <w:jc w:val="left"/>
            </w:pPr>
            <w:r/>
            <w:r>
              <w:rPr>
                <w:rFonts w:ascii="Aptos" w:hAnsi="Aptos"/>
                <w:b w:val="0"/>
                <w:sz w:val="19"/>
              </w:rPr>
              <w:t>partnership_rules</w:t>
            </w:r>
          </w:p>
        </w:tc>
        <w:tc>
          <w:tcPr>
            <w:tcW w:type="dxa" w:w="3312"/>
            <w:vAlign w:val="center"/>
          </w:tcPr>
          <w:p>
            <w:pPr>
              <w:jc w:val="left"/>
            </w:pPr>
            <w:r/>
            <w:r>
              <w:rPr>
                <w:rFonts w:ascii="Aptos" w:hAnsi="Aptos"/>
                <w:b w:val="0"/>
                <w:sz w:val="19"/>
              </w:rPr>
              <w:t>Advanced rules and conditions</w:t>
            </w:r>
          </w:p>
        </w:tc>
        <w:tc>
          <w:tcPr>
            <w:tcW w:type="dxa" w:w="3312"/>
            <w:vAlign w:val="center"/>
          </w:tcPr>
          <w:p>
            <w:pPr>
              <w:jc w:val="left"/>
            </w:pPr>
            <w:r/>
            <w:r>
              <w:rPr>
                <w:rFonts w:ascii="Aptos" w:hAnsi="Aptos"/>
                <w:b w:val="0"/>
                <w:sz w:val="19"/>
              </w:rPr>
              <w:t>customer_type_rules, blackout, time bands, stacking, partner restrictions</w:t>
            </w:r>
          </w:p>
        </w:tc>
      </w:tr>
      <w:tr>
        <w:tc>
          <w:tcPr>
            <w:tcW w:type="dxa" w:w="3312"/>
            <w:vAlign w:val="center"/>
          </w:tcPr>
          <w:p>
            <w:pPr>
              <w:jc w:val="left"/>
            </w:pPr>
            <w:r/>
            <w:r>
              <w:rPr>
                <w:rFonts w:ascii="Aptos" w:hAnsi="Aptos"/>
                <w:b w:val="0"/>
                <w:sz w:val="19"/>
              </w:rPr>
              <w:t>partnership_agreements</w:t>
            </w:r>
          </w:p>
        </w:tc>
        <w:tc>
          <w:tcPr>
            <w:tcW w:type="dxa" w:w="3312"/>
            <w:vAlign w:val="center"/>
          </w:tcPr>
          <w:p>
            <w:pPr>
              <w:jc w:val="left"/>
            </w:pPr>
            <w:r/>
            <w:r>
              <w:rPr>
                <w:rFonts w:ascii="Aptos" w:hAnsi="Aptos"/>
                <w:b w:val="0"/>
                <w:sz w:val="19"/>
              </w:rPr>
              <w:t>Legal / commercial reference</w:t>
            </w:r>
          </w:p>
        </w:tc>
        <w:tc>
          <w:tcPr>
            <w:tcW w:type="dxa" w:w="3312"/>
            <w:vAlign w:val="center"/>
          </w:tcPr>
          <w:p>
            <w:pPr>
              <w:jc w:val="left"/>
            </w:pPr>
            <w:r/>
            <w:r>
              <w:rPr>
                <w:rFonts w:ascii="Aptos" w:hAnsi="Aptos"/>
                <w:b w:val="0"/>
                <w:sz w:val="19"/>
              </w:rPr>
              <w:t>version, file, accepted_by, accepted_at</w:t>
            </w:r>
          </w:p>
        </w:tc>
      </w:tr>
      <w:tr>
        <w:tc>
          <w:tcPr>
            <w:tcW w:type="dxa" w:w="3312"/>
            <w:vAlign w:val="center"/>
          </w:tcPr>
          <w:p>
            <w:pPr>
              <w:jc w:val="left"/>
            </w:pPr>
            <w:r/>
            <w:r>
              <w:rPr>
                <w:rFonts w:ascii="Aptos" w:hAnsi="Aptos"/>
                <w:b w:val="0"/>
                <w:sz w:val="19"/>
              </w:rPr>
              <w:t>partner_claims</w:t>
            </w:r>
          </w:p>
        </w:tc>
        <w:tc>
          <w:tcPr>
            <w:tcW w:type="dxa" w:w="3312"/>
            <w:vAlign w:val="center"/>
          </w:tcPr>
          <w:p>
            <w:pPr>
              <w:jc w:val="left"/>
            </w:pPr>
            <w:r/>
            <w:r>
              <w:rPr>
                <w:rFonts w:ascii="Aptos" w:hAnsi="Aptos"/>
                <w:b w:val="0"/>
                <w:sz w:val="19"/>
              </w:rPr>
              <w:t>Customer claims / tokens</w:t>
            </w:r>
          </w:p>
        </w:tc>
        <w:tc>
          <w:tcPr>
            <w:tcW w:type="dxa" w:w="3312"/>
            <w:vAlign w:val="center"/>
          </w:tcPr>
          <w:p>
            <w:pPr>
              <w:jc w:val="left"/>
            </w:pPr>
            <w:r/>
            <w:r>
              <w:rPr>
                <w:rFonts w:ascii="Aptos" w:hAnsi="Aptos"/>
                <w:b w:val="0"/>
                <w:sz w:val="19"/>
              </w:rPr>
              <w:t>customer_id, source_outlet, target_outlet, token, status, expires_at</w:t>
            </w:r>
          </w:p>
        </w:tc>
      </w:tr>
      <w:tr>
        <w:tc>
          <w:tcPr>
            <w:tcW w:type="dxa" w:w="3312"/>
            <w:vAlign w:val="center"/>
          </w:tcPr>
          <w:p>
            <w:pPr>
              <w:jc w:val="left"/>
            </w:pPr>
            <w:r/>
            <w:r>
              <w:rPr>
                <w:rFonts w:ascii="Aptos" w:hAnsi="Aptos"/>
                <w:b w:val="0"/>
                <w:sz w:val="19"/>
              </w:rPr>
              <w:t>partner_redemptions</w:t>
            </w:r>
          </w:p>
        </w:tc>
        <w:tc>
          <w:tcPr>
            <w:tcW w:type="dxa" w:w="3312"/>
            <w:vAlign w:val="center"/>
          </w:tcPr>
          <w:p>
            <w:pPr>
              <w:jc w:val="left"/>
            </w:pPr>
            <w:r/>
            <w:r>
              <w:rPr>
                <w:rFonts w:ascii="Aptos" w:hAnsi="Aptos"/>
                <w:b w:val="0"/>
                <w:sz w:val="19"/>
              </w:rPr>
              <w:t>Executed benefit usage</w:t>
            </w:r>
          </w:p>
        </w:tc>
        <w:tc>
          <w:tcPr>
            <w:tcW w:type="dxa" w:w="3312"/>
            <w:vAlign w:val="center"/>
          </w:tcPr>
          <w:p>
            <w:pPr>
              <w:jc w:val="left"/>
            </w:pPr>
            <w:r/>
            <w:r>
              <w:rPr>
                <w:rFonts w:ascii="Aptos" w:hAnsi="Aptos"/>
                <w:b w:val="0"/>
                <w:sz w:val="19"/>
              </w:rPr>
              <w:t>bill_id, transaction_id, amount, rule_snapshot, customer_type</w:t>
            </w:r>
          </w:p>
        </w:tc>
      </w:tr>
      <w:tr>
        <w:tc>
          <w:tcPr>
            <w:tcW w:type="dxa" w:w="3312"/>
            <w:vAlign w:val="center"/>
          </w:tcPr>
          <w:p>
            <w:pPr>
              <w:jc w:val="left"/>
            </w:pPr>
            <w:r/>
            <w:r>
              <w:rPr>
                <w:rFonts w:ascii="Aptos" w:hAnsi="Aptos"/>
                <w:b w:val="0"/>
                <w:sz w:val="19"/>
              </w:rPr>
              <w:t>partnership_ledger_entries</w:t>
            </w:r>
          </w:p>
        </w:tc>
        <w:tc>
          <w:tcPr>
            <w:tcW w:type="dxa" w:w="3312"/>
            <w:vAlign w:val="center"/>
          </w:tcPr>
          <w:p>
            <w:pPr>
              <w:jc w:val="left"/>
            </w:pPr>
            <w:r/>
            <w:r>
              <w:rPr>
                <w:rFonts w:ascii="Aptos" w:hAnsi="Aptos"/>
                <w:b w:val="0"/>
                <w:sz w:val="19"/>
              </w:rPr>
              <w:t>Virtual accounting trail</w:t>
            </w:r>
          </w:p>
        </w:tc>
        <w:tc>
          <w:tcPr>
            <w:tcW w:type="dxa" w:w="3312"/>
            <w:vAlign w:val="center"/>
          </w:tcPr>
          <w:p>
            <w:pPr>
              <w:jc w:val="left"/>
            </w:pPr>
            <w:r/>
            <w:r>
              <w:rPr>
                <w:rFonts w:ascii="Aptos" w:hAnsi="Aptos"/>
                <w:b w:val="0"/>
                <w:sz w:val="19"/>
              </w:rPr>
              <w:t>credit/debit semantics, source, target, statement period</w:t>
            </w:r>
          </w:p>
        </w:tc>
      </w:tr>
      <w:tr>
        <w:tc>
          <w:tcPr>
            <w:tcW w:type="dxa" w:w="3312"/>
            <w:vAlign w:val="center"/>
          </w:tcPr>
          <w:p>
            <w:pPr>
              <w:jc w:val="left"/>
            </w:pPr>
            <w:r/>
            <w:r>
              <w:rPr>
                <w:rFonts w:ascii="Aptos" w:hAnsi="Aptos"/>
                <w:b w:val="0"/>
                <w:sz w:val="19"/>
              </w:rPr>
              <w:t>partnership_statements</w:t>
            </w:r>
          </w:p>
        </w:tc>
        <w:tc>
          <w:tcPr>
            <w:tcW w:type="dxa" w:w="3312"/>
            <w:vAlign w:val="center"/>
          </w:tcPr>
          <w:p>
            <w:pPr>
              <w:jc w:val="left"/>
            </w:pPr>
            <w:r/>
            <w:r>
              <w:rPr>
                <w:rFonts w:ascii="Aptos" w:hAnsi="Aptos"/>
                <w:b w:val="0"/>
                <w:sz w:val="19"/>
              </w:rPr>
              <w:t>Merchant-facing settlement / ROI snapshot</w:t>
            </w:r>
          </w:p>
        </w:tc>
        <w:tc>
          <w:tcPr>
            <w:tcW w:type="dxa" w:w="3312"/>
            <w:vAlign w:val="center"/>
          </w:tcPr>
          <w:p>
            <w:pPr>
              <w:jc w:val="left"/>
            </w:pPr>
            <w:r/>
            <w:r>
              <w:rPr>
                <w:rFonts w:ascii="Aptos" w:hAnsi="Aptos"/>
                <w:b w:val="0"/>
                <w:sz w:val="19"/>
              </w:rPr>
              <w:t>period totals, gains, spent value, ROI</w:t>
            </w:r>
          </w:p>
        </w:tc>
      </w:tr>
      <w:tr>
        <w:tc>
          <w:tcPr>
            <w:tcW w:type="dxa" w:w="3312"/>
            <w:vAlign w:val="center"/>
          </w:tcPr>
          <w:p>
            <w:pPr>
              <w:jc w:val="left"/>
            </w:pPr>
            <w:r/>
            <w:r>
              <w:rPr>
                <w:rFonts w:ascii="Aptos" w:hAnsi="Aptos"/>
                <w:b w:val="0"/>
                <w:sz w:val="19"/>
              </w:rPr>
              <w:t>partnership_attribution</w:t>
            </w:r>
          </w:p>
        </w:tc>
        <w:tc>
          <w:tcPr>
            <w:tcW w:type="dxa" w:w="3312"/>
            <w:vAlign w:val="center"/>
          </w:tcPr>
          <w:p>
            <w:pPr>
              <w:jc w:val="left"/>
            </w:pPr>
            <w:r/>
            <w:r>
              <w:rPr>
                <w:rFonts w:ascii="Aptos" w:hAnsi="Aptos"/>
                <w:b w:val="0"/>
                <w:sz w:val="19"/>
              </w:rPr>
              <w:t>Retention and source tracking</w:t>
            </w:r>
          </w:p>
        </w:tc>
        <w:tc>
          <w:tcPr>
            <w:tcW w:type="dxa" w:w="3312"/>
            <w:vAlign w:val="center"/>
          </w:tcPr>
          <w:p>
            <w:pPr>
              <w:jc w:val="left"/>
            </w:pPr>
            <w:r/>
            <w:r>
              <w:rPr>
                <w:rFonts w:ascii="Aptos" w:hAnsi="Aptos"/>
                <w:b w:val="0"/>
                <w:sz w:val="19"/>
              </w:rPr>
              <w:t>first_visit_flag, 30/60/90-day stats</w:t>
            </w:r>
          </w:p>
        </w:tc>
      </w:tr>
      <w:tr>
        <w:tc>
          <w:tcPr>
            <w:tcW w:type="dxa" w:w="3312"/>
            <w:vAlign w:val="center"/>
          </w:tcPr>
          <w:p>
            <w:pPr>
              <w:jc w:val="left"/>
            </w:pPr>
            <w:r/>
            <w:r>
              <w:rPr>
                <w:rFonts w:ascii="Aptos" w:hAnsi="Aptos"/>
                <w:b w:val="0"/>
                <w:sz w:val="19"/>
              </w:rPr>
              <w:t>partnership_staff_enablement</w:t>
            </w:r>
          </w:p>
        </w:tc>
        <w:tc>
          <w:tcPr>
            <w:tcW w:type="dxa" w:w="3312"/>
            <w:vAlign w:val="center"/>
          </w:tcPr>
          <w:p>
            <w:pPr>
              <w:jc w:val="center"/>
            </w:pPr>
            <w:r/>
            <w:r>
              <w:rPr>
                <w:rFonts w:ascii="Aptos" w:hAnsi="Aptos"/>
                <w:b w:val="0"/>
                <w:sz w:val="19"/>
              </w:rPr>
              <w:t>Continuity layer</w:t>
            </w:r>
          </w:p>
        </w:tc>
        <w:tc>
          <w:tcPr>
            <w:tcW w:type="dxa" w:w="3312"/>
            <w:vAlign w:val="center"/>
          </w:tcPr>
          <w:p>
            <w:pPr>
              <w:jc w:val="left"/>
            </w:pPr>
            <w:r/>
            <w:r>
              <w:rPr>
                <w:rFonts w:ascii="Aptos" w:hAnsi="Aptos"/>
                <w:b w:val="0"/>
                <w:sz w:val="19"/>
              </w:rPr>
              <w:t>last_training_at, last_used_at, dormant_flag</w:t>
            </w:r>
          </w:p>
        </w:tc>
      </w:tr>
      <w:tr>
        <w:tc>
          <w:tcPr>
            <w:tcW w:type="dxa" w:w="3312"/>
            <w:vAlign w:val="center"/>
          </w:tcPr>
          <w:p>
            <w:pPr>
              <w:jc w:val="left"/>
            </w:pPr>
            <w:r/>
            <w:r>
              <w:rPr>
                <w:rFonts w:ascii="Aptos" w:hAnsi="Aptos"/>
                <w:b w:val="0"/>
                <w:sz w:val="19"/>
              </w:rPr>
              <w:t>partner_recommendations</w:t>
            </w:r>
          </w:p>
        </w:tc>
        <w:tc>
          <w:tcPr>
            <w:tcW w:type="dxa" w:w="3312"/>
            <w:vAlign w:val="center"/>
          </w:tcPr>
          <w:p>
            <w:pPr>
              <w:jc w:val="left"/>
            </w:pPr>
            <w:r/>
            <w:r>
              <w:rPr>
                <w:rFonts w:ascii="Aptos" w:hAnsi="Aptos"/>
                <w:b w:val="0"/>
                <w:sz w:val="19"/>
              </w:rPr>
              <w:t>Pre-computed suggestions</w:t>
            </w:r>
          </w:p>
        </w:tc>
        <w:tc>
          <w:tcPr>
            <w:tcW w:type="dxa" w:w="3312"/>
            <w:vAlign w:val="center"/>
          </w:tcPr>
          <w:p>
            <w:pPr>
              <w:jc w:val="left"/>
            </w:pPr>
            <w:r/>
            <w:r>
              <w:rPr>
                <w:rFonts w:ascii="Aptos" w:hAnsi="Aptos"/>
                <w:b w:val="0"/>
                <w:sz w:val="19"/>
              </w:rPr>
              <w:t>fit_score, rationale, cluster_id, confidence</w:t>
            </w:r>
          </w:p>
        </w:tc>
      </w:tr>
    </w:tbl>
    <w:p/>
    <w:p>
      <w:pPr>
        <w:pStyle w:val="Heading2"/>
      </w:pPr>
      <w:r>
        <w:t>14.2 Scope resolution model</w:t>
      </w:r>
    </w:p>
    <w:p>
      <w:pPr/>
      <w:r>
        <w:t>The same partnership may need to operate at outlet level, selected outlet groups, city level, or brand-wide. Scope resolution should therefore be explicit and normalized rather than implicit in business logic.</w:t>
      </w:r>
    </w:p>
    <w:p>
      <w:pPr>
        <w:pStyle w:val="Heading2"/>
      </w:pPr>
      <w:r>
        <w:t>14.3 Rule snapshotting</w:t>
      </w:r>
    </w:p>
    <w:p>
      <w:pPr/>
      <w:r>
        <w:t>Every executed redemption should store a rule snapshot or rule version reference so disputes can be resolved based on the exact logic in force at the time of execution.</w:t>
      </w:r>
    </w:p>
    <w:p>
      <w:pPr>
        <w:pStyle w:val="Heading1"/>
      </w:pPr>
      <w:r>
        <w:t>15. API, Event, and State-Transition Design</w:t>
      </w:r>
    </w:p>
    <w:p>
      <w:pPr>
        <w:pStyle w:val="Heading2"/>
      </w:pPr>
      <w:r>
        <w:t>15.1 Suggested API groups</w:t>
      </w:r>
    </w:p>
    <w:p>
      <w:pPr>
        <w:ind w:left="288" w:hanging="259"/>
      </w:pPr>
      <w:r>
        <w:rPr>
          <w:b/>
        </w:rPr>
        <w:t xml:space="preserve">• </w:t>
      </w:r>
      <w:r>
        <w:t>Partner suggestions and discovery APIs</w:t>
      </w:r>
    </w:p>
    <w:p>
      <w:pPr>
        <w:ind w:left="288" w:hanging="259"/>
      </w:pPr>
      <w:r>
        <w:rPr>
          <w:b/>
        </w:rPr>
        <w:t xml:space="preserve">• </w:t>
      </w:r>
      <w:r>
        <w:t>Partnership request / accept / counter / pause / renew APIs</w:t>
      </w:r>
    </w:p>
    <w:p>
      <w:pPr>
        <w:ind w:left="288" w:hanging="259"/>
      </w:pPr>
      <w:r>
        <w:rPr>
          <w:b/>
        </w:rPr>
        <w:t xml:space="preserve">• </w:t>
      </w:r>
      <w:r>
        <w:t>Agreement upload and acceptance APIs</w:t>
      </w:r>
    </w:p>
    <w:p>
      <w:pPr>
        <w:ind w:left="288" w:hanging="259"/>
      </w:pPr>
      <w:r>
        <w:rPr>
          <w:b/>
        </w:rPr>
        <w:t xml:space="preserve">• </w:t>
      </w:r>
      <w:r>
        <w:t>Configuration and rule update APIs</w:t>
      </w:r>
    </w:p>
    <w:p>
      <w:pPr>
        <w:ind w:left="288" w:hanging="259"/>
      </w:pPr>
      <w:r>
        <w:rPr>
          <w:b/>
        </w:rPr>
        <w:t xml:space="preserve">• </w:t>
      </w:r>
      <w:r>
        <w:t>QR / claim / token APIs</w:t>
      </w:r>
    </w:p>
    <w:p>
      <w:pPr>
        <w:ind w:left="288" w:hanging="259"/>
      </w:pPr>
      <w:r>
        <w:rPr>
          <w:b/>
        </w:rPr>
        <w:t xml:space="preserve">• </w:t>
      </w:r>
      <w:r>
        <w:t>Eligibility and redemption validation APIs</w:t>
      </w:r>
    </w:p>
    <w:p>
      <w:pPr>
        <w:ind w:left="288" w:hanging="259"/>
      </w:pPr>
      <w:r>
        <w:rPr>
          <w:b/>
        </w:rPr>
        <w:t xml:space="preserve">• </w:t>
      </w:r>
      <w:r>
        <w:t>Ledger, statement, and dashboard APIs</w:t>
      </w:r>
    </w:p>
    <w:p>
      <w:pPr>
        <w:ind w:left="288" w:hanging="259"/>
      </w:pPr>
      <w:r>
        <w:rPr>
          <w:b/>
        </w:rPr>
        <w:t xml:space="preserve">• </w:t>
      </w:r>
      <w:r>
        <w:t>Staff re-activation and training prompt APIs</w:t>
      </w:r>
    </w:p>
    <w:p>
      <w:pPr>
        <w:pStyle w:val="Heading2"/>
      </w:pPr>
      <w:r>
        <w:t>15.2 Key events to emit</w:t>
      </w:r>
    </w:p>
    <w:tbl>
      <w:tblPr>
        <w:tblStyle w:val="TableGrid"/>
        <w:tblW w:type="auto" w:w="0"/>
        <w:jc w:val="center"/>
        <w:tblLook w:firstColumn="1" w:firstRow="1" w:lastColumn="0" w:lastRow="0" w:noHBand="0" w:noVBand="1" w:val="04A0"/>
      </w:tblPr>
      <w:tblGrid>
        <w:gridCol w:w="4968"/>
        <w:gridCol w:w="4968"/>
      </w:tblGrid>
      <w:tr>
        <w:tc>
          <w:tcPr>
            <w:tcW w:type="dxa" w:w="3168"/>
            <w:shd w:fill="DCE6F1"/>
            <w:vAlign w:val="center"/>
          </w:tcPr>
          <w:p>
            <w:pPr>
              <w:jc w:val="center"/>
            </w:pPr>
            <w:r/>
            <w:r>
              <w:rPr>
                <w:rFonts w:ascii="Aptos" w:hAnsi="Aptos"/>
                <w:b/>
                <w:color w:val="1D3557"/>
                <w:sz w:val="19"/>
              </w:rPr>
              <w:t>Event</w:t>
            </w:r>
          </w:p>
        </w:tc>
        <w:tc>
          <w:tcPr>
            <w:tcW w:type="dxa" w:w="6048"/>
            <w:shd w:fill="DCE6F1"/>
            <w:vAlign w:val="center"/>
          </w:tcPr>
          <w:p>
            <w:pPr>
              <w:jc w:val="center"/>
            </w:pPr>
            <w:r/>
            <w:r>
              <w:rPr>
                <w:rFonts w:ascii="Aptos" w:hAnsi="Aptos"/>
                <w:b/>
                <w:color w:val="1D3557"/>
                <w:sz w:val="19"/>
              </w:rPr>
              <w:t>Typical consumers</w:t>
            </w:r>
          </w:p>
        </w:tc>
      </w:tr>
      <w:tr>
        <w:tc>
          <w:tcPr>
            <w:tcW w:type="dxa" w:w="4968"/>
            <w:vAlign w:val="center"/>
          </w:tcPr>
          <w:p>
            <w:pPr>
              <w:jc w:val="left"/>
            </w:pPr>
            <w:r/>
            <w:r>
              <w:rPr>
                <w:rFonts w:ascii="Aptos" w:hAnsi="Aptos"/>
                <w:b w:val="0"/>
                <w:sz w:val="19"/>
              </w:rPr>
              <w:t>partnership.requested</w:t>
            </w:r>
          </w:p>
        </w:tc>
        <w:tc>
          <w:tcPr>
            <w:tcW w:type="dxa" w:w="4968"/>
            <w:vAlign w:val="center"/>
          </w:tcPr>
          <w:p>
            <w:pPr>
              <w:jc w:val="left"/>
            </w:pPr>
            <w:r/>
            <w:r>
              <w:rPr>
                <w:rFonts w:ascii="Aptos" w:hAnsi="Aptos"/>
                <w:b w:val="0"/>
                <w:sz w:val="19"/>
              </w:rPr>
              <w:t>ops workflow, notifications, merchant inbox</w:t>
            </w:r>
          </w:p>
        </w:tc>
      </w:tr>
      <w:tr>
        <w:tc>
          <w:tcPr>
            <w:tcW w:type="dxa" w:w="4968"/>
            <w:vAlign w:val="center"/>
          </w:tcPr>
          <w:p>
            <w:pPr>
              <w:jc w:val="left"/>
            </w:pPr>
            <w:r/>
            <w:r>
              <w:rPr>
                <w:rFonts w:ascii="Aptos" w:hAnsi="Aptos"/>
                <w:b w:val="0"/>
                <w:sz w:val="19"/>
              </w:rPr>
              <w:t>partnership.accepted</w:t>
            </w:r>
          </w:p>
        </w:tc>
        <w:tc>
          <w:tcPr>
            <w:tcW w:type="dxa" w:w="4968"/>
            <w:vAlign w:val="center"/>
          </w:tcPr>
          <w:p>
            <w:pPr>
              <w:jc w:val="left"/>
            </w:pPr>
            <w:r/>
            <w:r>
              <w:rPr>
                <w:rFonts w:ascii="Aptos" w:hAnsi="Aptos"/>
                <w:b w:val="0"/>
                <w:sz w:val="19"/>
              </w:rPr>
              <w:t>configuration workflow, agreement setup</w:t>
            </w:r>
          </w:p>
        </w:tc>
      </w:tr>
      <w:tr>
        <w:tc>
          <w:tcPr>
            <w:tcW w:type="dxa" w:w="4968"/>
            <w:vAlign w:val="center"/>
          </w:tcPr>
          <w:p>
            <w:pPr>
              <w:jc w:val="left"/>
            </w:pPr>
            <w:r/>
            <w:r>
              <w:rPr>
                <w:rFonts w:ascii="Aptos" w:hAnsi="Aptos"/>
                <w:b w:val="0"/>
                <w:sz w:val="19"/>
              </w:rPr>
              <w:t>partnership.live</w:t>
            </w:r>
          </w:p>
        </w:tc>
        <w:tc>
          <w:tcPr>
            <w:tcW w:type="dxa" w:w="4968"/>
            <w:vAlign w:val="center"/>
          </w:tcPr>
          <w:p>
            <w:pPr>
              <w:jc w:val="left"/>
            </w:pPr>
            <w:r/>
            <w:r>
              <w:rPr>
                <w:rFonts w:ascii="Aptos" w:hAnsi="Aptos"/>
                <w:b w:val="0"/>
                <w:sz w:val="19"/>
              </w:rPr>
              <w:t>activation logs, QR issuance, staff training</w:t>
            </w:r>
          </w:p>
        </w:tc>
      </w:tr>
      <w:tr>
        <w:tc>
          <w:tcPr>
            <w:tcW w:type="dxa" w:w="4968"/>
            <w:vAlign w:val="center"/>
          </w:tcPr>
          <w:p>
            <w:pPr>
              <w:jc w:val="left"/>
            </w:pPr>
            <w:r/>
            <w:r>
              <w:rPr>
                <w:rFonts w:ascii="Aptos" w:hAnsi="Aptos"/>
                <w:b w:val="0"/>
                <w:sz w:val="19"/>
              </w:rPr>
              <w:t>partner.claim.created</w:t>
            </w:r>
          </w:p>
        </w:tc>
        <w:tc>
          <w:tcPr>
            <w:tcW w:type="dxa" w:w="4968"/>
            <w:vAlign w:val="center"/>
          </w:tcPr>
          <w:p>
            <w:pPr>
              <w:jc w:val="left"/>
            </w:pPr>
            <w:r/>
            <w:r>
              <w:rPr>
                <w:rFonts w:ascii="Aptos" w:hAnsi="Aptos"/>
                <w:b w:val="0"/>
                <w:sz w:val="19"/>
              </w:rPr>
              <w:t>WhatsApp messaging, claim analytics</w:t>
            </w:r>
          </w:p>
        </w:tc>
      </w:tr>
      <w:tr>
        <w:tc>
          <w:tcPr>
            <w:tcW w:type="dxa" w:w="4968"/>
            <w:vAlign w:val="center"/>
          </w:tcPr>
          <w:p>
            <w:pPr>
              <w:jc w:val="left"/>
            </w:pPr>
            <w:r/>
            <w:r>
              <w:rPr>
                <w:rFonts w:ascii="Aptos" w:hAnsi="Aptos"/>
                <w:b w:val="0"/>
                <w:sz w:val="19"/>
              </w:rPr>
              <w:t>partner.redemption.executed</w:t>
            </w:r>
          </w:p>
        </w:tc>
        <w:tc>
          <w:tcPr>
            <w:tcW w:type="dxa" w:w="4968"/>
            <w:vAlign w:val="center"/>
          </w:tcPr>
          <w:p>
            <w:pPr>
              <w:jc w:val="left"/>
            </w:pPr>
            <w:r/>
            <w:r>
              <w:rPr>
                <w:rFonts w:ascii="Aptos" w:hAnsi="Aptos"/>
                <w:b w:val="0"/>
                <w:sz w:val="19"/>
              </w:rPr>
              <w:t>ledger, dashboards, attribution</w:t>
            </w:r>
          </w:p>
        </w:tc>
      </w:tr>
      <w:tr>
        <w:tc>
          <w:tcPr>
            <w:tcW w:type="dxa" w:w="4968"/>
            <w:vAlign w:val="center"/>
          </w:tcPr>
          <w:p>
            <w:pPr>
              <w:jc w:val="left"/>
            </w:pPr>
            <w:r/>
            <w:r>
              <w:rPr>
                <w:rFonts w:ascii="Aptos" w:hAnsi="Aptos"/>
                <w:b w:val="0"/>
                <w:sz w:val="19"/>
              </w:rPr>
              <w:t>partnership.cap.exhausted</w:t>
            </w:r>
          </w:p>
        </w:tc>
        <w:tc>
          <w:tcPr>
            <w:tcW w:type="dxa" w:w="4968"/>
            <w:vAlign w:val="center"/>
          </w:tcPr>
          <w:p>
            <w:pPr>
              <w:jc w:val="left"/>
            </w:pPr>
            <w:r/>
            <w:r>
              <w:rPr>
                <w:rFonts w:ascii="Aptos" w:hAnsi="Aptos"/>
                <w:b w:val="0"/>
                <w:sz w:val="19"/>
              </w:rPr>
              <w:t>merchant alerts, auto-pause checks</w:t>
            </w:r>
          </w:p>
        </w:tc>
      </w:tr>
      <w:tr>
        <w:tc>
          <w:tcPr>
            <w:tcW w:type="dxa" w:w="4968"/>
            <w:vAlign w:val="center"/>
          </w:tcPr>
          <w:p>
            <w:pPr>
              <w:jc w:val="left"/>
            </w:pPr>
            <w:r/>
            <w:r>
              <w:rPr>
                <w:rFonts w:ascii="Aptos" w:hAnsi="Aptos"/>
                <w:b w:val="0"/>
                <w:sz w:val="19"/>
              </w:rPr>
              <w:t>partnership.dormant</w:t>
            </w:r>
          </w:p>
        </w:tc>
        <w:tc>
          <w:tcPr>
            <w:tcW w:type="dxa" w:w="4968"/>
            <w:vAlign w:val="center"/>
          </w:tcPr>
          <w:p>
            <w:pPr>
              <w:jc w:val="left"/>
            </w:pPr>
            <w:r/>
            <w:r>
              <w:rPr>
                <w:rFonts w:ascii="Aptos" w:hAnsi="Aptos"/>
                <w:b w:val="0"/>
                <w:sz w:val="19"/>
              </w:rPr>
              <w:t>ops follow-up, staff enablement</w:t>
            </w:r>
          </w:p>
        </w:tc>
      </w:tr>
      <w:tr>
        <w:tc>
          <w:tcPr>
            <w:tcW w:type="dxa" w:w="4968"/>
            <w:vAlign w:val="center"/>
          </w:tcPr>
          <w:p>
            <w:pPr>
              <w:jc w:val="left"/>
            </w:pPr>
            <w:r/>
            <w:r>
              <w:rPr>
                <w:rFonts w:ascii="Aptos" w:hAnsi="Aptos"/>
                <w:b w:val="0"/>
                <w:sz w:val="19"/>
              </w:rPr>
              <w:t>customer.first_visit_via_partnership</w:t>
            </w:r>
          </w:p>
        </w:tc>
        <w:tc>
          <w:tcPr>
            <w:tcW w:type="dxa" w:w="4968"/>
            <w:vAlign w:val="center"/>
          </w:tcPr>
          <w:p>
            <w:pPr>
              <w:jc w:val="left"/>
            </w:pPr>
            <w:r/>
            <w:r>
              <w:rPr>
                <w:rFonts w:ascii="Aptos" w:hAnsi="Aptos"/>
                <w:b w:val="0"/>
                <w:sz w:val="19"/>
              </w:rPr>
              <w:t>attribution, retention pipeline</w:t>
            </w:r>
          </w:p>
        </w:tc>
      </w:tr>
      <w:tr>
        <w:tc>
          <w:tcPr>
            <w:tcW w:type="dxa" w:w="4968"/>
            <w:vAlign w:val="center"/>
          </w:tcPr>
          <w:p>
            <w:pPr>
              <w:jc w:val="left"/>
            </w:pPr>
            <w:r/>
            <w:r>
              <w:rPr>
                <w:rFonts w:ascii="Aptos" w:hAnsi="Aptos"/>
                <w:b w:val="0"/>
                <w:sz w:val="19"/>
              </w:rPr>
              <w:t>partnership.statement.generated</w:t>
            </w:r>
          </w:p>
        </w:tc>
        <w:tc>
          <w:tcPr>
            <w:tcW w:type="dxa" w:w="4968"/>
            <w:vAlign w:val="center"/>
          </w:tcPr>
          <w:p>
            <w:pPr>
              <w:jc w:val="left"/>
            </w:pPr>
            <w:r/>
            <w:r>
              <w:rPr>
                <w:rFonts w:ascii="Aptos" w:hAnsi="Aptos"/>
                <w:b w:val="0"/>
                <w:sz w:val="19"/>
              </w:rPr>
              <w:t>merchant finance view, renewal workflow</w:t>
            </w:r>
          </w:p>
        </w:tc>
      </w:tr>
    </w:tbl>
    <w:p/>
    <w:p>
      <w:pPr>
        <w:pStyle w:val="Heading2"/>
      </w:pPr>
      <w:r>
        <w:t>15.3 State machines</w:t>
      </w:r>
    </w:p>
    <w:p>
      <w:pPr/>
      <w:r>
        <w:t>At minimum, state machines are needed for partnership lifecycle, customer claim lifecycle, redemption lifecycle, and statement lifecycle. Idempotency, duplicate protection, and expiry handling are mandatory.</w:t>
      </w:r>
    </w:p>
    <w:p>
      <w:pPr>
        <w:pStyle w:val="Heading1"/>
      </w:pPr>
      <w:r>
        <w:t>16. Security, Privacy, Fraud, and Audit Controls</w:t>
      </w:r>
    </w:p>
    <w:p>
      <w:pPr>
        <w:ind w:left="288" w:hanging="259"/>
      </w:pPr>
      <w:r>
        <w:rPr>
          <w:b/>
        </w:rPr>
        <w:t xml:space="preserve">• </w:t>
      </w:r>
      <w:r>
        <w:t>No raw customer database sharing between merchants.</w:t>
      </w:r>
    </w:p>
    <w:p>
      <w:pPr>
        <w:ind w:left="288" w:hanging="259"/>
      </w:pPr>
      <w:r>
        <w:rPr>
          <w:b/>
        </w:rPr>
        <w:t xml:space="preserve">• </w:t>
      </w:r>
      <w:r>
        <w:t>Customer-level access should be role-based and purpose-limited.</w:t>
      </w:r>
    </w:p>
    <w:p>
      <w:pPr>
        <w:ind w:left="288" w:hanging="259"/>
      </w:pPr>
      <w:r>
        <w:rPr>
          <w:b/>
        </w:rPr>
        <w:t xml:space="preserve">• </w:t>
      </w:r>
      <w:r>
        <w:t>All claim and redemption actions should be logged with user, time, and outlet context.</w:t>
      </w:r>
    </w:p>
    <w:p>
      <w:pPr>
        <w:ind w:left="288" w:hanging="259"/>
      </w:pPr>
      <w:r>
        <w:rPr>
          <w:b/>
        </w:rPr>
        <w:t xml:space="preserve">• </w:t>
      </w:r>
      <w:r>
        <w:t>Prevent double-dipping with invalid discount combinations.</w:t>
      </w:r>
    </w:p>
    <w:p>
      <w:pPr>
        <w:ind w:left="288" w:hanging="259"/>
      </w:pPr>
      <w:r>
        <w:rPr>
          <w:b/>
        </w:rPr>
        <w:t xml:space="preserve">• </w:t>
      </w:r>
      <w:r>
        <w:t>Prevent duplicate token use, replay attempts, and same-bill repeated redemption.</w:t>
      </w:r>
    </w:p>
    <w:p>
      <w:pPr>
        <w:ind w:left="288" w:hanging="259"/>
      </w:pPr>
      <w:r>
        <w:rPr>
          <w:b/>
        </w:rPr>
        <w:t xml:space="preserve">• </w:t>
      </w:r>
      <w:r>
        <w:t>Add velocity checks for suspicious repeated use across outlets.</w:t>
      </w:r>
    </w:p>
    <w:p>
      <w:pPr>
        <w:ind w:left="288" w:hanging="259"/>
      </w:pPr>
      <w:r>
        <w:rPr>
          <w:b/>
        </w:rPr>
        <w:t xml:space="preserve">• </w:t>
      </w:r>
      <w:r>
        <w:t>Support true pause / stop controls for merchants and platform ops.</w:t>
      </w:r>
    </w:p>
    <w:p>
      <w:pPr/>
      <w:r>
        <w:t>This module creates trust between merchants only if the trust model is explicit. Privacy boundaries and fraud protections are therefore not support features; they are core product requirements.</w:t>
      </w:r>
    </w:p>
    <w:p>
      <w:pPr>
        <w:pStyle w:val="Heading1"/>
      </w:pPr>
      <w:r>
        <w:t>17. Operational Workflows, Staff Continuity, and Support</w:t>
      </w:r>
    </w:p>
    <w:p>
      <w:pPr/>
      <w:r>
        <w:t>Partnerships fail silently when the owner approves but the cashier does not know what to do. The product must therefore include staff continuity support as a deliberate part of the model.</w:t>
      </w:r>
    </w:p>
    <w:p>
      <w:pPr>
        <w:pStyle w:val="Heading2"/>
      </w:pPr>
      <w:r>
        <w:t>17.1 Required continuity mechanisms</w:t>
      </w:r>
    </w:p>
    <w:p>
      <w:pPr>
        <w:ind w:left="288" w:hanging="259"/>
      </w:pPr>
      <w:r>
        <w:rPr>
          <w:b/>
        </w:rPr>
        <w:t xml:space="preserve">• </w:t>
      </w:r>
      <w:r>
        <w:t>Outlet quick guide in the portal: how to process partner benefit in under one minute.</w:t>
      </w:r>
    </w:p>
    <w:p>
      <w:pPr>
        <w:ind w:left="288" w:hanging="259"/>
      </w:pPr>
      <w:r>
        <w:rPr>
          <w:b/>
        </w:rPr>
        <w:t xml:space="preserve">• </w:t>
      </w:r>
      <w:r>
        <w:t>Dormancy prompts if a live partnership has not been used in a defined period.</w:t>
      </w:r>
    </w:p>
    <w:p>
      <w:pPr>
        <w:ind w:left="288" w:hanging="259"/>
      </w:pPr>
      <w:r>
        <w:rPr>
          <w:b/>
        </w:rPr>
        <w:t xml:space="preserve">• </w:t>
      </w:r>
      <w:r>
        <w:t>Lightweight re-activation flow for new staff after turnover.</w:t>
      </w:r>
    </w:p>
    <w:p>
      <w:pPr>
        <w:ind w:left="288" w:hanging="259"/>
      </w:pPr>
      <w:r>
        <w:rPr>
          <w:b/>
        </w:rPr>
        <w:t xml:space="preserve">• </w:t>
      </w:r>
      <w:r>
        <w:t>Manager-facing alert when an outlet is live but untrained or unused.</w:t>
      </w:r>
    </w:p>
    <w:p>
      <w:pPr>
        <w:ind w:left="288" w:hanging="259"/>
      </w:pPr>
      <w:r>
        <w:rPr>
          <w:b/>
        </w:rPr>
        <w:t xml:space="preserve">• </w:t>
      </w:r>
      <w:r>
        <w:t>Support playbook for failed validations, expired claims, and customer confusion.</w:t>
      </w:r>
    </w:p>
    <w:p>
      <w:pPr>
        <w:pStyle w:val="Heading2"/>
      </w:pPr>
      <w:r>
        <w:t>17.2 Staff roles</w:t>
      </w:r>
    </w:p>
    <w:tbl>
      <w:tblPr>
        <w:tblStyle w:val="TableGrid"/>
        <w:tblW w:type="auto" w:w="0"/>
        <w:jc w:val="center"/>
        <w:tblLook w:firstColumn="1" w:firstRow="1" w:lastColumn="0" w:lastRow="0" w:noHBand="0" w:noVBand="1" w:val="04A0"/>
      </w:tblPr>
      <w:tblGrid>
        <w:gridCol w:w="4968"/>
        <w:gridCol w:w="4968"/>
      </w:tblGrid>
      <w:tr>
        <w:tc>
          <w:tcPr>
            <w:tcW w:type="dxa" w:w="2880"/>
            <w:shd w:fill="DCE6F1"/>
            <w:vAlign w:val="center"/>
          </w:tcPr>
          <w:p>
            <w:pPr>
              <w:jc w:val="center"/>
            </w:pPr>
            <w:r/>
            <w:r>
              <w:rPr>
                <w:rFonts w:ascii="Aptos" w:hAnsi="Aptos"/>
                <w:b/>
                <w:color w:val="1D3557"/>
                <w:sz w:val="19"/>
              </w:rPr>
              <w:t>Role</w:t>
            </w:r>
          </w:p>
        </w:tc>
        <w:tc>
          <w:tcPr>
            <w:tcW w:type="dxa" w:w="6336"/>
            <w:shd w:fill="DCE6F1"/>
            <w:vAlign w:val="center"/>
          </w:tcPr>
          <w:p>
            <w:pPr>
              <w:jc w:val="center"/>
            </w:pPr>
            <w:r/>
            <w:r>
              <w:rPr>
                <w:rFonts w:ascii="Aptos" w:hAnsi="Aptos"/>
                <w:b/>
                <w:color w:val="1D3557"/>
                <w:sz w:val="19"/>
              </w:rPr>
              <w:t>Need</w:t>
            </w:r>
          </w:p>
        </w:tc>
      </w:tr>
      <w:tr>
        <w:tc>
          <w:tcPr>
            <w:tcW w:type="dxa" w:w="4968"/>
            <w:vAlign w:val="center"/>
          </w:tcPr>
          <w:p>
            <w:pPr>
              <w:jc w:val="left"/>
            </w:pPr>
            <w:r/>
            <w:r>
              <w:rPr>
                <w:rFonts w:ascii="Aptos" w:hAnsi="Aptos"/>
                <w:b w:val="0"/>
                <w:sz w:val="19"/>
              </w:rPr>
              <w:t>Owner / approver</w:t>
            </w:r>
          </w:p>
        </w:tc>
        <w:tc>
          <w:tcPr>
            <w:tcW w:type="dxa" w:w="4968"/>
            <w:vAlign w:val="center"/>
          </w:tcPr>
          <w:p>
            <w:pPr>
              <w:jc w:val="left"/>
            </w:pPr>
            <w:r/>
            <w:r>
              <w:rPr>
                <w:rFonts w:ascii="Aptos" w:hAnsi="Aptos"/>
                <w:b w:val="0"/>
                <w:sz w:val="19"/>
              </w:rPr>
              <w:t>Commercial understanding and renewal visibility</w:t>
            </w:r>
          </w:p>
        </w:tc>
      </w:tr>
      <w:tr>
        <w:tc>
          <w:tcPr>
            <w:tcW w:type="dxa" w:w="4968"/>
            <w:vAlign w:val="center"/>
          </w:tcPr>
          <w:p>
            <w:pPr>
              <w:jc w:val="left"/>
            </w:pPr>
            <w:r/>
            <w:r>
              <w:rPr>
                <w:rFonts w:ascii="Aptos" w:hAnsi="Aptos"/>
                <w:b w:val="0"/>
                <w:sz w:val="19"/>
              </w:rPr>
              <w:t>Outlet manager</w:t>
            </w:r>
          </w:p>
        </w:tc>
        <w:tc>
          <w:tcPr>
            <w:tcW w:type="dxa" w:w="4968"/>
            <w:vAlign w:val="center"/>
          </w:tcPr>
          <w:p>
            <w:pPr>
              <w:jc w:val="left"/>
            </w:pPr>
            <w:r/>
            <w:r>
              <w:rPr>
                <w:rFonts w:ascii="Aptos" w:hAnsi="Aptos"/>
                <w:b w:val="0"/>
                <w:sz w:val="19"/>
              </w:rPr>
              <w:t>Readiness, usage monitoring, and staff continuity</w:t>
            </w:r>
          </w:p>
        </w:tc>
      </w:tr>
      <w:tr>
        <w:tc>
          <w:tcPr>
            <w:tcW w:type="dxa" w:w="4968"/>
            <w:vAlign w:val="center"/>
          </w:tcPr>
          <w:p>
            <w:pPr>
              <w:jc w:val="left"/>
            </w:pPr>
            <w:r/>
            <w:r>
              <w:rPr>
                <w:rFonts w:ascii="Aptos" w:hAnsi="Aptos"/>
                <w:b w:val="0"/>
                <w:sz w:val="19"/>
              </w:rPr>
              <w:t>Cashier</w:t>
            </w:r>
          </w:p>
        </w:tc>
        <w:tc>
          <w:tcPr>
            <w:tcW w:type="dxa" w:w="4968"/>
            <w:vAlign w:val="center"/>
          </w:tcPr>
          <w:p>
            <w:pPr>
              <w:jc w:val="left"/>
            </w:pPr>
            <w:r/>
            <w:r>
              <w:rPr>
                <w:rFonts w:ascii="Aptos" w:hAnsi="Aptos"/>
                <w:b w:val="0"/>
                <w:sz w:val="19"/>
              </w:rPr>
              <w:t>Big-button execution flow and simple help states</w:t>
            </w:r>
          </w:p>
        </w:tc>
      </w:tr>
      <w:tr>
        <w:tc>
          <w:tcPr>
            <w:tcW w:type="dxa" w:w="4968"/>
            <w:vAlign w:val="center"/>
          </w:tcPr>
          <w:p>
            <w:pPr>
              <w:jc w:val="left"/>
            </w:pPr>
            <w:r/>
            <w:r>
              <w:rPr>
                <w:rFonts w:ascii="Aptos" w:hAnsi="Aptos"/>
                <w:b w:val="0"/>
                <w:sz w:val="19"/>
              </w:rPr>
              <w:t>Support / ops</w:t>
            </w:r>
          </w:p>
        </w:tc>
        <w:tc>
          <w:tcPr>
            <w:tcW w:type="dxa" w:w="4968"/>
            <w:vAlign w:val="center"/>
          </w:tcPr>
          <w:p>
            <w:pPr>
              <w:jc w:val="left"/>
            </w:pPr>
            <w:r/>
            <w:r>
              <w:rPr>
                <w:rFonts w:ascii="Aptos" w:hAnsi="Aptos"/>
                <w:b w:val="0"/>
                <w:sz w:val="19"/>
              </w:rPr>
              <w:t>Fast diagnosis and dormancy recovery</w:t>
            </w:r>
          </w:p>
        </w:tc>
      </w:tr>
    </w:tbl>
    <w:p/>
    <w:p>
      <w:pPr>
        <w:pStyle w:val="Heading1"/>
      </w:pPr>
      <w:r>
        <w:t>18. Phasing, Rollout Strategy, and Delivery Sequence</w:t>
      </w:r>
    </w:p>
    <w:p>
      <w:pPr>
        <w:pStyle w:val="Heading2"/>
      </w:pPr>
      <w:r>
        <w:t>18.1 Recommended rollout focus</w:t>
      </w:r>
    </w:p>
    <w:p>
      <w:pPr/>
      <w:r>
        <w:t>Even if the backend is built broadly, launch should focus on outlet-level tie-ups in dense clusters with complementary categories and highly visible ROI. The goal is not maximum feature exposure. The goal is repeated successful activation.</w:t>
      </w:r>
    </w:p>
    <w:tbl>
      <w:tblPr>
        <w:tblStyle w:val="TableGrid"/>
        <w:tblW w:type="auto" w:w="0"/>
        <w:jc w:val="center"/>
        <w:tblLook w:firstColumn="1" w:firstRow="1" w:lastColumn="0" w:lastRow="0" w:noHBand="0" w:noVBand="1" w:val="04A0"/>
      </w:tblPr>
      <w:tblGrid>
        <w:gridCol w:w="3312"/>
        <w:gridCol w:w="3312"/>
        <w:gridCol w:w="3312"/>
      </w:tblGrid>
      <w:tr>
        <w:tc>
          <w:tcPr>
            <w:tcW w:type="dxa" w:w="1440"/>
            <w:shd w:fill="DCE6F1"/>
            <w:vAlign w:val="center"/>
          </w:tcPr>
          <w:p>
            <w:pPr>
              <w:jc w:val="center"/>
            </w:pPr>
            <w:r/>
            <w:r>
              <w:rPr>
                <w:rFonts w:ascii="Aptos" w:hAnsi="Aptos"/>
                <w:b/>
                <w:color w:val="1D3557"/>
                <w:sz w:val="19"/>
              </w:rPr>
              <w:t>Phase</w:t>
            </w:r>
          </w:p>
        </w:tc>
        <w:tc>
          <w:tcPr>
            <w:tcW w:type="dxa" w:w="2592"/>
            <w:shd w:fill="DCE6F1"/>
            <w:vAlign w:val="center"/>
          </w:tcPr>
          <w:p>
            <w:pPr>
              <w:jc w:val="center"/>
            </w:pPr>
            <w:r/>
            <w:r>
              <w:rPr>
                <w:rFonts w:ascii="Aptos" w:hAnsi="Aptos"/>
                <w:b/>
                <w:color w:val="1D3557"/>
                <w:sz w:val="19"/>
              </w:rPr>
              <w:t>Focus</w:t>
            </w:r>
          </w:p>
        </w:tc>
        <w:tc>
          <w:tcPr>
            <w:tcW w:type="dxa" w:w="5760"/>
            <w:shd w:fill="DCE6F1"/>
            <w:vAlign w:val="center"/>
          </w:tcPr>
          <w:p>
            <w:pPr>
              <w:jc w:val="center"/>
            </w:pPr>
            <w:r/>
            <w:r>
              <w:rPr>
                <w:rFonts w:ascii="Aptos" w:hAnsi="Aptos"/>
                <w:b/>
                <w:color w:val="1D3557"/>
                <w:sz w:val="19"/>
              </w:rPr>
              <w:t>Key deliverables</w:t>
            </w:r>
          </w:p>
        </w:tc>
      </w:tr>
      <w:tr>
        <w:tc>
          <w:tcPr>
            <w:tcW w:type="dxa" w:w="3312"/>
            <w:vAlign w:val="center"/>
          </w:tcPr>
          <w:p>
            <w:pPr>
              <w:jc w:val="left"/>
            </w:pPr>
            <w:r/>
            <w:r>
              <w:rPr>
                <w:rFonts w:ascii="Aptos" w:hAnsi="Aptos"/>
                <w:b w:val="0"/>
                <w:sz w:val="19"/>
              </w:rPr>
              <w:t>Phase 1</w:t>
            </w:r>
          </w:p>
        </w:tc>
        <w:tc>
          <w:tcPr>
            <w:tcW w:type="dxa" w:w="3312"/>
            <w:vAlign w:val="center"/>
          </w:tcPr>
          <w:p>
            <w:pPr>
              <w:jc w:val="left"/>
            </w:pPr>
            <w:r/>
            <w:r>
              <w:rPr>
                <w:rFonts w:ascii="Aptos" w:hAnsi="Aptos"/>
                <w:b w:val="0"/>
                <w:sz w:val="19"/>
              </w:rPr>
              <w:t>Narrow launch utility</w:t>
            </w:r>
          </w:p>
        </w:tc>
        <w:tc>
          <w:tcPr>
            <w:tcW w:type="dxa" w:w="3312"/>
            <w:vAlign w:val="center"/>
          </w:tcPr>
          <w:p>
            <w:pPr>
              <w:jc w:val="left"/>
            </w:pPr>
            <w:r/>
            <w:r>
              <w:rPr>
                <w:rFonts w:ascii="Aptos" w:hAnsi="Aptos"/>
                <w:b w:val="0"/>
                <w:sz w:val="19"/>
              </w:rPr>
              <w:t>Recommendations, request flow, agreement, simple caps, QR/WhatsApp claim, cashier redemption, basic ROI</w:t>
            </w:r>
          </w:p>
        </w:tc>
      </w:tr>
      <w:tr>
        <w:tc>
          <w:tcPr>
            <w:tcW w:type="dxa" w:w="3312"/>
            <w:vAlign w:val="center"/>
          </w:tcPr>
          <w:p>
            <w:pPr>
              <w:jc w:val="left"/>
            </w:pPr>
            <w:r/>
            <w:r>
              <w:rPr>
                <w:rFonts w:ascii="Aptos" w:hAnsi="Aptos"/>
                <w:b w:val="0"/>
                <w:sz w:val="19"/>
              </w:rPr>
              <w:t>Phase 2</w:t>
            </w:r>
          </w:p>
        </w:tc>
        <w:tc>
          <w:tcPr>
            <w:tcW w:type="dxa" w:w="3312"/>
            <w:vAlign w:val="center"/>
          </w:tcPr>
          <w:p>
            <w:pPr>
              <w:jc w:val="left"/>
            </w:pPr>
            <w:r/>
            <w:r>
              <w:rPr>
                <w:rFonts w:ascii="Aptos" w:hAnsi="Aptos"/>
                <w:b w:val="0"/>
                <w:sz w:val="19"/>
              </w:rPr>
              <w:t>Economics and optimization</w:t>
            </w:r>
          </w:p>
        </w:tc>
        <w:tc>
          <w:tcPr>
            <w:tcW w:type="dxa" w:w="3312"/>
            <w:vAlign w:val="center"/>
          </w:tcPr>
          <w:p>
            <w:pPr>
              <w:jc w:val="left"/>
            </w:pPr>
            <w:r/>
            <w:r>
              <w:rPr>
                <w:rFonts w:ascii="Aptos" w:hAnsi="Aptos"/>
                <w:b w:val="0"/>
                <w:sz w:val="19"/>
              </w:rPr>
              <w:t>New/existing/reactivated logic, 30/60/90-day attribution, reciprocity, cluster health, statements</w:t>
            </w:r>
          </w:p>
        </w:tc>
      </w:tr>
      <w:tr>
        <w:tc>
          <w:tcPr>
            <w:tcW w:type="dxa" w:w="3312"/>
            <w:vAlign w:val="center"/>
          </w:tcPr>
          <w:p>
            <w:pPr>
              <w:jc w:val="left"/>
            </w:pPr>
            <w:r/>
            <w:r>
              <w:rPr>
                <w:rFonts w:ascii="Aptos" w:hAnsi="Aptos"/>
                <w:b w:val="0"/>
                <w:sz w:val="19"/>
              </w:rPr>
              <w:t>Phase 3</w:t>
            </w:r>
          </w:p>
        </w:tc>
        <w:tc>
          <w:tcPr>
            <w:tcW w:type="dxa" w:w="3312"/>
            <w:vAlign w:val="center"/>
          </w:tcPr>
          <w:p>
            <w:pPr>
              <w:jc w:val="center"/>
            </w:pPr>
            <w:r/>
            <w:r>
              <w:rPr>
                <w:rFonts w:ascii="Aptos" w:hAnsi="Aptos"/>
                <w:b w:val="0"/>
                <w:sz w:val="19"/>
              </w:rPr>
              <w:t>Network expansion</w:t>
            </w:r>
          </w:p>
        </w:tc>
        <w:tc>
          <w:tcPr>
            <w:tcW w:type="dxa" w:w="3312"/>
            <w:vAlign w:val="center"/>
          </w:tcPr>
          <w:p>
            <w:pPr>
              <w:jc w:val="left"/>
            </w:pPr>
            <w:r/>
            <w:r>
              <w:rPr>
                <w:rFonts w:ascii="Aptos" w:hAnsi="Aptos"/>
                <w:b w:val="0"/>
                <w:sz w:val="19"/>
              </w:rPr>
              <w:t>Advanced rules, city/brand scopes, peak/off-peak controls, deeper ops tooling, AI insights</w:t>
            </w:r>
          </w:p>
        </w:tc>
      </w:tr>
      <w:tr>
        <w:tc>
          <w:tcPr>
            <w:tcW w:type="dxa" w:w="3312"/>
            <w:vAlign w:val="center"/>
          </w:tcPr>
          <w:p>
            <w:pPr>
              <w:jc w:val="left"/>
            </w:pPr>
            <w:r/>
            <w:r>
              <w:rPr>
                <w:rFonts w:ascii="Aptos" w:hAnsi="Aptos"/>
                <w:b w:val="0"/>
                <w:sz w:val="19"/>
              </w:rPr>
              <w:t>Phase 4</w:t>
            </w:r>
          </w:p>
        </w:tc>
        <w:tc>
          <w:tcPr>
            <w:tcW w:type="dxa" w:w="3312"/>
            <w:vAlign w:val="center"/>
          </w:tcPr>
          <w:p>
            <w:pPr>
              <w:jc w:val="center"/>
            </w:pPr>
            <w:r/>
            <w:r>
              <w:rPr>
                <w:rFonts w:ascii="Aptos" w:hAnsi="Aptos"/>
                <w:b w:val="0"/>
                <w:sz w:val="19"/>
              </w:rPr>
              <w:t>Scaled governance</w:t>
            </w:r>
          </w:p>
        </w:tc>
        <w:tc>
          <w:tcPr>
            <w:tcW w:type="dxa" w:w="3312"/>
            <w:vAlign w:val="center"/>
          </w:tcPr>
          <w:p>
            <w:pPr>
              <w:jc w:val="left"/>
            </w:pPr>
            <w:r/>
            <w:r>
              <w:rPr>
                <w:rFonts w:ascii="Aptos" w:hAnsi="Aptos"/>
                <w:b w:val="0"/>
                <w:sz w:val="19"/>
              </w:rPr>
              <w:t>Parent-managed networks, complex settlement options, recommendation learning loops</w:t>
            </w:r>
          </w:p>
        </w:tc>
      </w:tr>
    </w:tbl>
    <w:p/>
    <w:p>
      <w:pPr>
        <w:pStyle w:val="Heading2"/>
      </w:pPr>
      <w:r>
        <w:t>18.2 Cluster-first rollout rationale</w:t>
      </w:r>
    </w:p>
    <w:p>
      <w:pPr/>
      <w:r>
        <w:t>Network businesses often fail because they scale too wide before they scale dense. For this product, live density within malls, micro-markets, or compact retail zones matters more than broad merchant enrollment.</w:t>
      </w:r>
    </w:p>
    <w:p>
      <w:pPr>
        <w:pStyle w:val="Heading1"/>
      </w:pPr>
      <w:r>
        <w:t>19. Claude Code Build Instructions</w:t>
      </w:r>
    </w:p>
    <w:p>
      <w:pPr/>
      <w:r>
        <w:t>This document is meant to be usable as a master specification for Claude Code. The recommended implementation approach is indexed and modular so the project can be built in coherent chunks rather than as one uncontrolled block.</w:t>
      </w:r>
    </w:p>
    <w:p>
      <w:pPr>
        <w:pStyle w:val="Heading2"/>
      </w:pPr>
      <w:r>
        <w:t>19.1 Suggested build order</w:t>
      </w:r>
    </w:p>
    <w:p>
      <w:pPr>
        <w:ind w:left="288" w:hanging="259"/>
      </w:pPr>
      <w:r>
        <w:rPr>
          <w:b/>
        </w:rPr>
        <w:t xml:space="preserve">• </w:t>
      </w:r>
      <w:r>
        <w:t>1. Project scaffolding and partnership domain model</w:t>
      </w:r>
    </w:p>
    <w:p>
      <w:pPr>
        <w:ind w:left="288" w:hanging="259"/>
      </w:pPr>
      <w:r>
        <w:rPr>
          <w:b/>
        </w:rPr>
        <w:t xml:space="preserve">• </w:t>
      </w:r>
      <w:r>
        <w:t>2. Partner suggestion and discovery APIs + admin screens</w:t>
      </w:r>
    </w:p>
    <w:p>
      <w:pPr>
        <w:ind w:left="288" w:hanging="259"/>
      </w:pPr>
      <w:r>
        <w:rPr>
          <w:b/>
        </w:rPr>
        <w:t xml:space="preserve">• </w:t>
      </w:r>
      <w:r>
        <w:t>3. Partnership request, accept, counter, and status workflow</w:t>
      </w:r>
    </w:p>
    <w:p>
      <w:pPr>
        <w:ind w:left="288" w:hanging="259"/>
      </w:pPr>
      <w:r>
        <w:rPr>
          <w:b/>
        </w:rPr>
        <w:t xml:space="preserve">• </w:t>
      </w:r>
      <w:r>
        <w:t>4. Agreement and onboarding checklist layer</w:t>
      </w:r>
    </w:p>
    <w:p>
      <w:pPr>
        <w:ind w:left="288" w:hanging="259"/>
      </w:pPr>
      <w:r>
        <w:rPr>
          <w:b/>
        </w:rPr>
        <w:t xml:space="preserve">• </w:t>
      </w:r>
      <w:r>
        <w:t>5. Visible V1 configuration layer with templates and caps</w:t>
      </w:r>
    </w:p>
    <w:p>
      <w:pPr>
        <w:ind w:left="288" w:hanging="259"/>
      </w:pPr>
      <w:r>
        <w:rPr>
          <w:b/>
        </w:rPr>
        <w:t xml:space="preserve">• </w:t>
      </w:r>
      <w:r>
        <w:t>6. QR / WhatsApp claim issuance flow and token management</w:t>
      </w:r>
    </w:p>
    <w:p>
      <w:pPr>
        <w:ind w:left="288" w:hanging="259"/>
      </w:pPr>
      <w:r>
        <w:rPr>
          <w:b/>
        </w:rPr>
        <w:t xml:space="preserve">• </w:t>
      </w:r>
      <w:r>
        <w:t>7. Cashier execution screen with eligibility and approval validation</w:t>
      </w:r>
    </w:p>
    <w:p>
      <w:pPr>
        <w:ind w:left="288" w:hanging="259"/>
      </w:pPr>
      <w:r>
        <w:rPr>
          <w:b/>
        </w:rPr>
        <w:t xml:space="preserve">• </w:t>
      </w:r>
      <w:r>
        <w:t>8. Ledger, statementing, and audit trail</w:t>
      </w:r>
    </w:p>
    <w:p>
      <w:pPr>
        <w:ind w:left="288" w:hanging="259"/>
      </w:pPr>
      <w:r>
        <w:rPr>
          <w:b/>
        </w:rPr>
        <w:t xml:space="preserve">• </w:t>
      </w:r>
      <w:r>
        <w:t>9. Attribution and retention jobs / services</w:t>
      </w:r>
    </w:p>
    <w:p>
      <w:pPr>
        <w:ind w:left="288" w:hanging="259"/>
      </w:pPr>
      <w:r>
        <w:rPr>
          <w:b/>
        </w:rPr>
        <w:t xml:space="preserve">• </w:t>
      </w:r>
      <w:r>
        <w:t>10. Merchant dashboards, partnership dashboards, and cluster metrics</w:t>
      </w:r>
    </w:p>
    <w:p>
      <w:pPr>
        <w:ind w:left="288" w:hanging="259"/>
      </w:pPr>
      <w:r>
        <w:rPr>
          <w:b/>
        </w:rPr>
        <w:t xml:space="preserve">• </w:t>
      </w:r>
      <w:r>
        <w:t>11. Staff enablement / dormancy recovery tooling</w:t>
      </w:r>
    </w:p>
    <w:p>
      <w:pPr>
        <w:ind w:left="288" w:hanging="259"/>
      </w:pPr>
      <w:r>
        <w:rPr>
          <w:b/>
        </w:rPr>
        <w:t xml:space="preserve">• </w:t>
      </w:r>
      <w:r>
        <w:t>12. Advanced rules and AI insight layer</w:t>
      </w:r>
    </w:p>
    <w:p>
      <w:pPr>
        <w:pStyle w:val="Heading2"/>
      </w:pPr>
      <w:r>
        <w:t>19.2 Recommended documentation split if building one doc at a time</w:t>
      </w:r>
    </w:p>
    <w:tbl>
      <w:tblPr>
        <w:tblStyle w:val="TableGrid"/>
        <w:tblW w:type="auto" w:w="0"/>
        <w:jc w:val="center"/>
        <w:tblLook w:firstColumn="1" w:firstRow="1" w:lastColumn="0" w:lastRow="0" w:noHBand="0" w:noVBand="1" w:val="04A0"/>
      </w:tblPr>
      <w:tblGrid>
        <w:gridCol w:w="4968"/>
        <w:gridCol w:w="4968"/>
      </w:tblGrid>
      <w:tr>
        <w:tc>
          <w:tcPr>
            <w:tcW w:type="dxa" w:w="1440"/>
            <w:shd w:fill="DCE6F1"/>
            <w:vAlign w:val="center"/>
          </w:tcPr>
          <w:p>
            <w:pPr>
              <w:jc w:val="center"/>
            </w:pPr>
            <w:r/>
            <w:r>
              <w:rPr>
                <w:rFonts w:ascii="Aptos" w:hAnsi="Aptos"/>
                <w:b/>
                <w:color w:val="1D3557"/>
                <w:sz w:val="19"/>
              </w:rPr>
              <w:t>Doc</w:t>
            </w:r>
          </w:p>
        </w:tc>
        <w:tc>
          <w:tcPr>
            <w:tcW w:type="dxa" w:w="7776"/>
            <w:shd w:fill="DCE6F1"/>
            <w:vAlign w:val="center"/>
          </w:tcPr>
          <w:p>
            <w:pPr>
              <w:jc w:val="center"/>
            </w:pPr>
            <w:r/>
            <w:r>
              <w:rPr>
                <w:rFonts w:ascii="Aptos" w:hAnsi="Aptos"/>
                <w:b/>
                <w:color w:val="1D3557"/>
                <w:sz w:val="19"/>
              </w:rPr>
              <w:t>Suggested content</w:t>
            </w:r>
          </w:p>
        </w:tc>
      </w:tr>
      <w:tr>
        <w:tc>
          <w:tcPr>
            <w:tcW w:type="dxa" w:w="4968"/>
            <w:vAlign w:val="center"/>
          </w:tcPr>
          <w:p>
            <w:pPr>
              <w:jc w:val="left"/>
            </w:pPr>
            <w:r/>
            <w:r>
              <w:rPr>
                <w:rFonts w:ascii="Aptos" w:hAnsi="Aptos"/>
                <w:b w:val="0"/>
                <w:sz w:val="19"/>
              </w:rPr>
              <w:t>Doc 1</w:t>
            </w:r>
          </w:p>
        </w:tc>
        <w:tc>
          <w:tcPr>
            <w:tcW w:type="dxa" w:w="4968"/>
            <w:vAlign w:val="center"/>
          </w:tcPr>
          <w:p>
            <w:pPr>
              <w:jc w:val="left"/>
            </w:pPr>
            <w:r/>
            <w:r>
              <w:rPr>
                <w:rFonts w:ascii="Aptos" w:hAnsi="Aptos"/>
                <w:b w:val="0"/>
                <w:sz w:val="19"/>
              </w:rPr>
              <w:t>Business framing, goals, user roles, module overview</w:t>
            </w:r>
          </w:p>
        </w:tc>
      </w:tr>
      <w:tr>
        <w:tc>
          <w:tcPr>
            <w:tcW w:type="dxa" w:w="4968"/>
            <w:vAlign w:val="center"/>
          </w:tcPr>
          <w:p>
            <w:pPr>
              <w:jc w:val="left"/>
            </w:pPr>
            <w:r/>
            <w:r>
              <w:rPr>
                <w:rFonts w:ascii="Aptos" w:hAnsi="Aptos"/>
                <w:b w:val="0"/>
                <w:sz w:val="19"/>
              </w:rPr>
              <w:t>Doc 2</w:t>
            </w:r>
          </w:p>
        </w:tc>
        <w:tc>
          <w:tcPr>
            <w:tcW w:type="dxa" w:w="4968"/>
            <w:vAlign w:val="center"/>
          </w:tcPr>
          <w:p>
            <w:pPr>
              <w:jc w:val="left"/>
            </w:pPr>
            <w:r/>
            <w:r>
              <w:rPr>
                <w:rFonts w:ascii="Aptos" w:hAnsi="Aptos"/>
                <w:b w:val="0"/>
                <w:sz w:val="19"/>
              </w:rPr>
              <w:t>Detailed PRD and user workflows</w:t>
            </w:r>
          </w:p>
        </w:tc>
      </w:tr>
      <w:tr>
        <w:tc>
          <w:tcPr>
            <w:tcW w:type="dxa" w:w="4968"/>
            <w:vAlign w:val="center"/>
          </w:tcPr>
          <w:p>
            <w:pPr>
              <w:jc w:val="left"/>
            </w:pPr>
            <w:r/>
            <w:r>
              <w:rPr>
                <w:rFonts w:ascii="Aptos" w:hAnsi="Aptos"/>
                <w:b w:val="0"/>
                <w:sz w:val="19"/>
              </w:rPr>
              <w:t>Doc 3</w:t>
            </w:r>
          </w:p>
        </w:tc>
        <w:tc>
          <w:tcPr>
            <w:tcW w:type="dxa" w:w="4968"/>
            <w:vAlign w:val="center"/>
          </w:tcPr>
          <w:p>
            <w:pPr>
              <w:jc w:val="left"/>
            </w:pPr>
            <w:r/>
            <w:r>
              <w:rPr>
                <w:rFonts w:ascii="Aptos" w:hAnsi="Aptos"/>
                <w:b w:val="0"/>
                <w:sz w:val="19"/>
              </w:rPr>
              <w:t>Technical architecture, services, and data model</w:t>
            </w:r>
          </w:p>
        </w:tc>
      </w:tr>
      <w:tr>
        <w:tc>
          <w:tcPr>
            <w:tcW w:type="dxa" w:w="4968"/>
            <w:vAlign w:val="center"/>
          </w:tcPr>
          <w:p>
            <w:pPr>
              <w:jc w:val="left"/>
            </w:pPr>
            <w:r/>
            <w:r>
              <w:rPr>
                <w:rFonts w:ascii="Aptos" w:hAnsi="Aptos"/>
                <w:b w:val="0"/>
                <w:sz w:val="19"/>
              </w:rPr>
              <w:t>Doc 4</w:t>
            </w:r>
          </w:p>
        </w:tc>
        <w:tc>
          <w:tcPr>
            <w:tcW w:type="dxa" w:w="4968"/>
            <w:vAlign w:val="center"/>
          </w:tcPr>
          <w:p>
            <w:pPr>
              <w:jc w:val="left"/>
            </w:pPr>
            <w:r/>
            <w:r>
              <w:rPr>
                <w:rFonts w:ascii="Aptos" w:hAnsi="Aptos"/>
                <w:b w:val="0"/>
                <w:sz w:val="19"/>
              </w:rPr>
              <w:t>Rules engine, attribution, ledger, and analytics logic</w:t>
            </w:r>
          </w:p>
        </w:tc>
      </w:tr>
      <w:tr>
        <w:tc>
          <w:tcPr>
            <w:tcW w:type="dxa" w:w="4968"/>
            <w:vAlign w:val="center"/>
          </w:tcPr>
          <w:p>
            <w:pPr>
              <w:jc w:val="left"/>
            </w:pPr>
            <w:r/>
            <w:r>
              <w:rPr>
                <w:rFonts w:ascii="Aptos" w:hAnsi="Aptos"/>
                <w:b w:val="0"/>
                <w:sz w:val="19"/>
              </w:rPr>
              <w:t>Doc 5</w:t>
            </w:r>
          </w:p>
        </w:tc>
        <w:tc>
          <w:tcPr>
            <w:tcW w:type="dxa" w:w="4968"/>
            <w:vAlign w:val="center"/>
          </w:tcPr>
          <w:p>
            <w:pPr>
              <w:jc w:val="left"/>
            </w:pPr>
            <w:r/>
            <w:r>
              <w:rPr>
                <w:rFonts w:ascii="Aptos" w:hAnsi="Aptos"/>
                <w:b w:val="0"/>
                <w:sz w:val="19"/>
              </w:rPr>
              <w:t>API contracts, event model, and state machines</w:t>
            </w:r>
          </w:p>
        </w:tc>
      </w:tr>
      <w:tr>
        <w:tc>
          <w:tcPr>
            <w:tcW w:type="dxa" w:w="4968"/>
            <w:vAlign w:val="center"/>
          </w:tcPr>
          <w:p>
            <w:pPr>
              <w:jc w:val="left"/>
            </w:pPr>
            <w:r/>
            <w:r>
              <w:rPr>
                <w:rFonts w:ascii="Aptos" w:hAnsi="Aptos"/>
                <w:b w:val="0"/>
                <w:sz w:val="19"/>
              </w:rPr>
              <w:t>Doc 6</w:t>
            </w:r>
          </w:p>
        </w:tc>
        <w:tc>
          <w:tcPr>
            <w:tcW w:type="dxa" w:w="4968"/>
            <w:vAlign w:val="center"/>
          </w:tcPr>
          <w:p>
            <w:pPr>
              <w:jc w:val="left"/>
            </w:pPr>
            <w:r/>
            <w:r>
              <w:rPr>
                <w:rFonts w:ascii="Aptos" w:hAnsi="Aptos"/>
                <w:b w:val="0"/>
                <w:sz w:val="19"/>
              </w:rPr>
              <w:t>UX notes, staff enablement, edge cases, and rollout playbook</w:t>
            </w:r>
          </w:p>
        </w:tc>
      </w:tr>
    </w:tbl>
    <w:p/>
    <w:p>
      <w:pPr/>
      <w:r>
        <w:t>This modular split is recommended if implementation needs tighter execution control, clearer code ownership, or staged review with engineering and business stakeholders.</w:t>
      </w:r>
    </w:p>
    <w:p>
      <w:pPr>
        <w:pStyle w:val="Heading1"/>
      </w:pPr>
      <w:r>
        <w:t>20. Appendix: Templates, Suggested Defaults, Edge Cases, and Open Decisions</w:t>
      </w:r>
    </w:p>
    <w:p>
      <w:pPr>
        <w:pStyle w:val="Heading2"/>
      </w:pPr>
      <w:r>
        <w:t>20.1 Suggested prebuilt scenarios</w:t>
      </w:r>
    </w:p>
    <w:p>
      <w:pPr>
        <w:ind w:left="288" w:hanging="259"/>
      </w:pPr>
      <w:r>
        <w:rPr>
          <w:b/>
        </w:rPr>
        <w:t xml:space="preserve">• </w:t>
      </w:r>
      <w:r>
        <w:t>First-time customer acquisition tie-up</w:t>
      </w:r>
    </w:p>
    <w:p>
      <w:pPr>
        <w:ind w:left="288" w:hanging="259"/>
      </w:pPr>
      <w:r>
        <w:rPr>
          <w:b/>
        </w:rPr>
        <w:t xml:space="preserve">• </w:t>
      </w:r>
      <w:r>
        <w:t>Weekend traffic-sharing partnership</w:t>
      </w:r>
    </w:p>
    <w:p>
      <w:pPr>
        <w:ind w:left="288" w:hanging="259"/>
      </w:pPr>
      <w:r>
        <w:rPr>
          <w:b/>
        </w:rPr>
        <w:t xml:space="preserve">• </w:t>
      </w:r>
      <w:r>
        <w:t>Complementary category local network</w:t>
      </w:r>
    </w:p>
    <w:p>
      <w:pPr>
        <w:ind w:left="288" w:hanging="259"/>
      </w:pPr>
      <w:r>
        <w:rPr>
          <w:b/>
        </w:rPr>
        <w:t xml:space="preserve">• </w:t>
      </w:r>
      <w:r>
        <w:t>Mall micro-cluster tie-up</w:t>
      </w:r>
    </w:p>
    <w:p>
      <w:pPr>
        <w:ind w:left="288" w:hanging="259"/>
      </w:pPr>
      <w:r>
        <w:rPr>
          <w:b/>
        </w:rPr>
        <w:t xml:space="preserve">• </w:t>
      </w:r>
      <w:r>
        <w:t>Reactivation-focused partnership</w:t>
      </w:r>
    </w:p>
    <w:p>
      <w:pPr>
        <w:ind w:left="288" w:hanging="259"/>
      </w:pPr>
      <w:r>
        <w:rPr>
          <w:b/>
        </w:rPr>
        <w:t xml:space="preserve">• </w:t>
      </w:r>
      <w:r>
        <w:t>Peak / off-peak partner usage model</w:t>
      </w:r>
    </w:p>
    <w:p>
      <w:pPr>
        <w:pStyle w:val="Heading2"/>
      </w:pPr>
      <w:r>
        <w:t>20.2 Suggested onboarding questions</w:t>
      </w:r>
    </w:p>
    <w:p>
      <w:pPr>
        <w:ind w:left="288" w:hanging="259"/>
      </w:pPr>
      <w:r>
        <w:rPr>
          <w:b/>
        </w:rPr>
        <w:t xml:space="preserve">• </w:t>
      </w:r>
      <w:r>
        <w:t>Business category and outlet type</w:t>
      </w:r>
    </w:p>
    <w:p>
      <w:pPr>
        <w:ind w:left="288" w:hanging="259"/>
      </w:pPr>
      <w:r>
        <w:rPr>
          <w:b/>
        </w:rPr>
        <w:t xml:space="preserve">• </w:t>
      </w:r>
      <w:r>
        <w:t>Average bill value band</w:t>
      </w:r>
    </w:p>
    <w:p>
      <w:pPr>
        <w:ind w:left="288" w:hanging="259"/>
      </w:pPr>
      <w:r>
        <w:rPr>
          <w:b/>
        </w:rPr>
        <w:t xml:space="preserve">• </w:t>
      </w:r>
      <w:r>
        <w:t>Approximate gross margin band</w:t>
      </w:r>
    </w:p>
    <w:p>
      <w:pPr>
        <w:ind w:left="288" w:hanging="259"/>
      </w:pPr>
      <w:r>
        <w:rPr>
          <w:b/>
        </w:rPr>
        <w:t xml:space="preserve">• </w:t>
      </w:r>
      <w:r>
        <w:t>Primary goal: acquisition, repeat, reactivation, visibility</w:t>
      </w:r>
    </w:p>
    <w:p>
      <w:pPr>
        <w:ind w:left="288" w:hanging="259"/>
      </w:pPr>
      <w:r>
        <w:rPr>
          <w:b/>
        </w:rPr>
        <w:t xml:space="preserve">• </w:t>
      </w:r>
      <w:r>
        <w:t>Preferred partner categories</w:t>
      </w:r>
    </w:p>
    <w:p>
      <w:pPr>
        <w:ind w:left="288" w:hanging="259"/>
      </w:pPr>
      <w:r>
        <w:rPr>
          <w:b/>
        </w:rPr>
        <w:t xml:space="preserve">• </w:t>
      </w:r>
      <w:r>
        <w:t>Willingness to fund partner-led discount bucket: low / medium / high</w:t>
      </w:r>
    </w:p>
    <w:p>
      <w:pPr>
        <w:ind w:left="288" w:hanging="259"/>
      </w:pPr>
      <w:r>
        <w:rPr>
          <w:b/>
        </w:rPr>
        <w:t xml:space="preserve">• </w:t>
      </w:r>
      <w:r>
        <w:t>Need for strict controls vs balanced growth</w:t>
      </w:r>
    </w:p>
    <w:p>
      <w:pPr>
        <w:pStyle w:val="Heading2"/>
      </w:pPr>
      <w:r>
        <w:t>20.3 High-priority edge cases</w:t>
      </w:r>
    </w:p>
    <w:p>
      <w:pPr>
        <w:ind w:left="288" w:hanging="259"/>
      </w:pPr>
      <w:r>
        <w:rPr>
          <w:b/>
        </w:rPr>
        <w:t xml:space="preserve">• </w:t>
      </w:r>
      <w:r>
        <w:t>Customer claim expires before redemption</w:t>
      </w:r>
    </w:p>
    <w:p>
      <w:pPr>
        <w:ind w:left="288" w:hanging="259"/>
      </w:pPr>
      <w:r>
        <w:rPr>
          <w:b/>
        </w:rPr>
        <w:t xml:space="preserve">• </w:t>
      </w:r>
      <w:r>
        <w:t>Bill amount changes after approval</w:t>
      </w:r>
    </w:p>
    <w:p>
      <w:pPr>
        <w:ind w:left="288" w:hanging="259"/>
      </w:pPr>
      <w:r>
        <w:rPr>
          <w:b/>
        </w:rPr>
        <w:t xml:space="preserve">• </w:t>
      </w:r>
      <w:r>
        <w:t>Monthly cap exhausts mid-day</w:t>
      </w:r>
    </w:p>
    <w:p>
      <w:pPr>
        <w:ind w:left="288" w:hanging="259"/>
      </w:pPr>
      <w:r>
        <w:rPr>
          <w:b/>
        </w:rPr>
        <w:t xml:space="preserve">• </w:t>
      </w:r>
      <w:r>
        <w:t>Customer is misclassified due to delayed sync</w:t>
      </w:r>
    </w:p>
    <w:p>
      <w:pPr>
        <w:ind w:left="288" w:hanging="259"/>
      </w:pPr>
      <w:r>
        <w:rPr>
          <w:b/>
        </w:rPr>
        <w:t xml:space="preserve">• </w:t>
      </w:r>
      <w:r>
        <w:t>Outlet is active in agreement but not trained operationally</w:t>
      </w:r>
    </w:p>
    <w:p>
      <w:pPr>
        <w:ind w:left="288" w:hanging="259"/>
      </w:pPr>
      <w:r>
        <w:rPr>
          <w:b/>
        </w:rPr>
        <w:t xml:space="preserve">• </w:t>
      </w:r>
      <w:r>
        <w:t>Customer tries to stack partner benefit with another restricted offer</w:t>
      </w:r>
    </w:p>
    <w:p>
      <w:pPr>
        <w:ind w:left="288" w:hanging="259"/>
      </w:pPr>
      <w:r>
        <w:rPr>
          <w:b/>
        </w:rPr>
        <w:t xml:space="preserve">• </w:t>
      </w:r>
      <w:r>
        <w:t>Return / partial return after partner redemption</w:t>
      </w:r>
    </w:p>
    <w:p>
      <w:pPr>
        <w:ind w:left="288" w:hanging="259"/>
      </w:pPr>
      <w:r>
        <w:rPr>
          <w:b/>
        </w:rPr>
        <w:t xml:space="preserve">• </w:t>
      </w:r>
      <w:r>
        <w:t>Partnership is one-sided and requires renegotiation prompt</w:t>
      </w:r>
    </w:p>
    <w:p>
      <w:pPr>
        <w:pStyle w:val="Heading2"/>
      </w:pPr>
      <w:r>
        <w:t>20.4 Open decisions for product leadership</w:t>
      </w:r>
    </w:p>
    <w:p>
      <w:pPr>
        <w:ind w:left="288" w:hanging="259"/>
      </w:pPr>
      <w:r>
        <w:rPr>
          <w:b/>
        </w:rPr>
        <w:t xml:space="preserve">• </w:t>
      </w:r>
      <w:r>
        <w:t>Exact financial treatment of partner value in statements and P&amp;L-style reporting</w:t>
      </w:r>
    </w:p>
    <w:p>
      <w:pPr>
        <w:ind w:left="288" w:hanging="259"/>
      </w:pPr>
      <w:r>
        <w:rPr>
          <w:b/>
        </w:rPr>
        <w:t xml:space="preserve">• </w:t>
      </w:r>
      <w:r>
        <w:t>Whether V1 supports only vouchers / offers or also controlled source-loyalty conversion</w:t>
      </w:r>
    </w:p>
    <w:p>
      <w:pPr>
        <w:ind w:left="288" w:hanging="259"/>
      </w:pPr>
      <w:r>
        <w:rPr>
          <w:b/>
        </w:rPr>
        <w:t xml:space="preserve">• </w:t>
      </w:r>
      <w:r>
        <w:t>Which messaging channels are mandatory in V1 beyond WhatsApp and SMS fallback</w:t>
      </w:r>
    </w:p>
    <w:p>
      <w:pPr>
        <w:ind w:left="288" w:hanging="259"/>
      </w:pPr>
      <w:r>
        <w:rPr>
          <w:b/>
        </w:rPr>
        <w:t xml:space="preserve">• </w:t>
      </w:r>
      <w:r>
        <w:t>How aggressively to expose advanced controls in UI vs keep them admin-hidden</w:t>
      </w:r>
    </w:p>
    <w:p>
      <w:pPr>
        <w:ind w:left="288" w:hanging="259"/>
      </w:pPr>
      <w:r>
        <w:rPr>
          <w:b/>
        </w:rPr>
        <w:t xml:space="preserve">• </w:t>
      </w:r>
      <w:r>
        <w:t>Commercial pricing model for the module: subscription, activation fee, success fee, or hybrid</w:t>
      </w:r>
    </w:p>
    <w:p/>
    <w:p>
      <w:pPr>
        <w:pStyle w:val="Callout"/>
      </w:pPr>
      <w:r>
        <w:t>Final recommendation: build the full capability layer if it is efficient, but keep the merchant experience centered on four promises - find the right partner, activate easily, execute safely, and prove retained value.</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1D3557"/>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457B9D"/>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w:hAnsi="Aptos"/>
      <w:b/>
      <w:color w:val="1D355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basedOn w:val="Normal"/>
    <w:rPr>
      <w:rFonts w:ascii="Aptos" w:hAnsi="Aptos"/>
      <w:color w:val="5A5A5A"/>
      <w:sz w:val="18"/>
    </w:rPr>
  </w:style>
  <w:style w:type="paragraph" w:customStyle="1" w:styleId="Callout">
    <w:name w:val="Callout"/>
    <w:basedOn w:val="Normal"/>
    <w:pPr>
      <w:spacing w:before="80" w:after="120"/>
      <w:ind w:left="259" w:right="144"/>
    </w:pPr>
    <w:rPr>
      <w:rFonts w:ascii="Aptos" w:hAnsi="Aptos"/>
      <w:i/>
      <w:color w:val="1D355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