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1A1A2E"/>
          </w:tcPr>
          <w:p>
            <w:pPr>
              <w:spacing w:before="100" w:after="100"/>
              <w:jc w:val="left"/>
            </w:pPr>
            <w:r>
              <w:rPr>
                <w:b/>
                <w:color w:val="FFFFFF"/>
                <w:sz w:val="26"/>
              </w:rPr>
              <w:t xml:space="preserve">  Podcast Pulse Test  ·  Enrollment Impact Analysis  ·  March – April 2026</w:t>
            </w:r>
          </w:p>
        </w:tc>
      </w:tr>
    </w:tbl>
    <w:p/>
    <w:p>
      <w:pPr>
        <w:spacing w:after="60"/>
      </w:pPr>
      <w:r>
        <w:rPr>
          <w:b/>
          <w:color w:val="1A1A2E"/>
          <w:sz w:val="22"/>
        </w:rPr>
        <w:t>What We Tested</w:t>
      </w:r>
    </w:p>
    <w:p>
      <w:pPr>
        <w:spacing w:after="160"/>
      </w:pPr>
      <w:r>
        <w:rPr>
          <w:sz w:val="19"/>
        </w:rPr>
        <w:t>We ran a podcast spend pulsing test across three periods to see whether increasing or decreasing podcast spend meaningfully changes overall enrollments. A statistical model (trained on historical enrollment trends through March 23) was used to project what enrollments would have looked like without any spend change — the counterfactual baseline.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shd w:val="clear" w:color="auto" w:fill="4C72B0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BAU (3/16 – 3/31)</w:t>
            </w:r>
          </w:p>
        </w:tc>
        <w:tc>
          <w:tcPr>
            <w:tcW w:type="dxa" w:w="3364"/>
            <w:shd w:val="clear" w:color="auto" w:fill="DD8452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50% BAU – Spend Down (4/01 – 4/21)</w:t>
            </w:r>
          </w:p>
        </w:tc>
        <w:tc>
          <w:tcPr>
            <w:tcW w:type="dxa" w:w="3364"/>
            <w:shd w:val="clear" w:color="auto" w:fill="55A868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150% BAU – Spend Up (4/22 – 4/30)</w:t>
            </w:r>
          </w:p>
        </w:tc>
      </w:tr>
      <w:tr>
        <w:tc>
          <w:tcPr>
            <w:tcW w:type="dxa" w:w="3364"/>
            <w:shd w:val="clear" w:color="auto" w:fill="F4F6FB"/>
          </w:tcPr>
          <w:p>
            <w:pPr>
              <w:spacing w:before="80" w:after="80"/>
              <w:jc w:val="center"/>
            </w:pPr>
            <w:r>
              <w:rPr>
                <w:sz w:val="17"/>
              </w:rPr>
              <w:t>$228,944 · ~$91.6K/wk</w:t>
              <w:br/>
              <w:t>(baseline spend)</w:t>
            </w:r>
          </w:p>
        </w:tc>
        <w:tc>
          <w:tcPr>
            <w:tcW w:type="dxa" w:w="3364"/>
            <w:shd w:val="clear" w:color="auto" w:fill="F4F6FB"/>
          </w:tcPr>
          <w:p>
            <w:pPr>
              <w:spacing w:before="80" w:after="80"/>
              <w:jc w:val="center"/>
            </w:pPr>
            <w:r>
              <w:rPr>
                <w:sz w:val="17"/>
              </w:rPr>
              <w:t>$330,000 total · $110K/wk</w:t>
              <w:br/>
              <w:t>(reduced spend)</w:t>
            </w:r>
          </w:p>
        </w:tc>
        <w:tc>
          <w:tcPr>
            <w:tcW w:type="dxa" w:w="3364"/>
            <w:shd w:val="clear" w:color="auto" w:fill="F4F6FB"/>
          </w:tcPr>
          <w:p>
            <w:pPr>
              <w:spacing w:before="80" w:after="80"/>
              <w:jc w:val="center"/>
            </w:pPr>
            <w:r>
              <w:rPr>
                <w:sz w:val="17"/>
              </w:rPr>
              <w:t>$220,000 total · $220K/wk</w:t>
              <w:br/>
              <w:t>(increased spend)</w:t>
            </w:r>
          </w:p>
        </w:tc>
      </w:tr>
    </w:tbl>
    <w:p/>
    <w:p>
      <w:pPr>
        <w:spacing w:after="60"/>
      </w:pPr>
      <w:r>
        <w:rPr>
          <w:b/>
          <w:color w:val="1A1A2E"/>
          <w:sz w:val="22"/>
        </w:rPr>
        <w:t>Actual Enrollments vs. Expected Baseline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4566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nepager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4566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80"/>
      </w:pPr>
      <w:r>
        <w:rPr>
          <w:b/>
          <w:color w:val="1A1A2E"/>
          <w:sz w:val="22"/>
        </w:rPr>
        <w:t>Results by Period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2"/>
        <w:gridCol w:w="1442"/>
        <w:gridCol w:w="1442"/>
        <w:gridCol w:w="1442"/>
        <w:gridCol w:w="1442"/>
        <w:gridCol w:w="1442"/>
        <w:gridCol w:w="1442"/>
      </w:tblGrid>
      <w:tr>
        <w:tc>
          <w:tcPr>
            <w:tcW w:type="dxa" w:w="1944"/>
            <w:shd w:val="clear" w:color="auto" w:fill="1A1A2E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Period</w:t>
            </w:r>
          </w:p>
        </w:tc>
        <w:tc>
          <w:tcPr>
            <w:tcW w:type="dxa" w:w="1800"/>
            <w:shd w:val="clear" w:color="auto" w:fill="1A1A2E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Spend Level</w:t>
            </w:r>
          </w:p>
        </w:tc>
        <w:tc>
          <w:tcPr>
            <w:tcW w:type="dxa" w:w="1368"/>
            <w:shd w:val="clear" w:color="auto" w:fill="1A1A2E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Actual</w:t>
              <w:br/>
              <w:t>Enrollments</w:t>
            </w:r>
          </w:p>
        </w:tc>
        <w:tc>
          <w:tcPr>
            <w:tcW w:type="dxa" w:w="1584"/>
            <w:shd w:val="clear" w:color="auto" w:fill="1A1A2E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Expected</w:t>
              <w:br/>
              <w:t>(Counterfactual)</w:t>
            </w:r>
          </w:p>
        </w:tc>
        <w:tc>
          <w:tcPr>
            <w:tcW w:type="dxa" w:w="1296"/>
            <w:shd w:val="clear" w:color="auto" w:fill="1A1A2E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Lift / Drop</w:t>
              <w:br/>
              <w:t>(#)</w:t>
            </w:r>
          </w:p>
        </w:tc>
        <w:tc>
          <w:tcPr>
            <w:tcW w:type="dxa" w:w="1152"/>
            <w:shd w:val="clear" w:color="auto" w:fill="1A1A2E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Lift / Drop</w:t>
              <w:br/>
              <w:t>(%)</w:t>
            </w:r>
          </w:p>
        </w:tc>
        <w:tc>
          <w:tcPr>
            <w:tcW w:type="dxa" w:w="1008"/>
            <w:shd w:val="clear" w:color="auto" w:fill="1A1A2E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Stat Sig?</w:t>
            </w:r>
          </w:p>
        </w:tc>
      </w:tr>
      <w:tr>
        <w:tc>
          <w:tcPr>
            <w:tcW w:type="dxa" w:w="1944"/>
            <w:shd w:val="clear" w:color="auto" w:fill="F9F9F9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color w:val="DD8452"/>
                <w:sz w:val="17"/>
              </w:rPr>
              <w:t>50% BAU – Spend Down</w:t>
            </w:r>
          </w:p>
        </w:tc>
        <w:tc>
          <w:tcPr>
            <w:tcW w:type="dxa" w:w="1800"/>
            <w:shd w:val="clear" w:color="auto" w:fill="F9F9F9"/>
            <w:vAlign w:val="center"/>
          </w:tcPr>
          <w:p>
            <w:pPr>
              <w:spacing w:before="60" w:after="60"/>
              <w:jc w:val="center"/>
            </w:pPr>
            <w:r>
              <w:rPr>
                <w:sz w:val="17"/>
              </w:rPr>
              <w:t>$330,000 total</w:t>
              <w:br/>
              <w:t>($110K/wk)</w:t>
            </w:r>
          </w:p>
        </w:tc>
        <w:tc>
          <w:tcPr>
            <w:tcW w:type="dxa" w:w="1368"/>
            <w:shd w:val="clear" w:color="auto" w:fill="F9F9F9"/>
            <w:vAlign w:val="center"/>
          </w:tcPr>
          <w:p>
            <w:pPr>
              <w:spacing w:before="60" w:after="60"/>
              <w:jc w:val="center"/>
            </w:pPr>
            <w:r>
              <w:rPr>
                <w:sz w:val="17"/>
              </w:rPr>
              <w:t>428,054</w:t>
            </w:r>
          </w:p>
        </w:tc>
        <w:tc>
          <w:tcPr>
            <w:tcW w:type="dxa" w:w="1584"/>
            <w:shd w:val="clear" w:color="auto" w:fill="F9F9F9"/>
            <w:vAlign w:val="center"/>
          </w:tcPr>
          <w:p>
            <w:pPr>
              <w:spacing w:before="60" w:after="60"/>
              <w:jc w:val="center"/>
            </w:pPr>
            <w:r>
              <w:rPr>
                <w:sz w:val="17"/>
              </w:rPr>
              <w:t>410,915</w:t>
            </w:r>
          </w:p>
        </w:tc>
        <w:tc>
          <w:tcPr>
            <w:tcW w:type="dxa" w:w="1296"/>
            <w:shd w:val="clear" w:color="auto" w:fill="F9F9F9"/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22863A"/>
                <w:sz w:val="17"/>
              </w:rPr>
              <w:t>+17,139</w:t>
            </w:r>
          </w:p>
        </w:tc>
        <w:tc>
          <w:tcPr>
            <w:tcW w:type="dxa" w:w="1152"/>
            <w:shd w:val="clear" w:color="auto" w:fill="F9F9F9"/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22863A"/>
                <w:sz w:val="17"/>
              </w:rPr>
              <w:t>+4.2%</w:t>
            </w:r>
          </w:p>
        </w:tc>
        <w:tc>
          <w:tcPr>
            <w:tcW w:type="dxa" w:w="1008"/>
            <w:shd w:val="clear" w:color="auto" w:fill="F9F9F9"/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888888"/>
                <w:sz w:val="17"/>
              </w:rPr>
              <w:t>No — not significant</w:t>
            </w:r>
          </w:p>
        </w:tc>
      </w:tr>
      <w:tr>
        <w:tc>
          <w:tcPr>
            <w:tcW w:type="dxa" w:w="1944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color w:val="55A868"/>
                <w:sz w:val="17"/>
              </w:rPr>
              <w:t>150% BAU – Spend Up</w:t>
            </w:r>
          </w:p>
        </w:tc>
        <w:tc>
          <w:tcPr>
            <w:tcW w:type="dxa" w:w="1800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sz w:val="17"/>
              </w:rPr>
              <w:t>$220,000 total</w:t>
              <w:br/>
              <w:t>($220K/wk)</w:t>
            </w:r>
          </w:p>
        </w:tc>
        <w:tc>
          <w:tcPr>
            <w:tcW w:type="dxa" w:w="1368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sz w:val="17"/>
              </w:rPr>
              <w:t>188,652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sz w:val="17"/>
              </w:rPr>
              <w:t>176,832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22863A"/>
                <w:sz w:val="17"/>
              </w:rPr>
              <w:t>+11,820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22863A"/>
                <w:sz w:val="17"/>
              </w:rPr>
              <w:t>+6.7%</w:t>
            </w:r>
          </w:p>
        </w:tc>
        <w:tc>
          <w:tcPr>
            <w:tcW w:type="dxa" w:w="1008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888888"/>
                <w:sz w:val="17"/>
              </w:rPr>
              <w:t>No — not significant</w:t>
            </w:r>
          </w:p>
        </w:tc>
      </w:tr>
    </w:tbl>
    <w:p/>
    <w:p>
      <w:pPr>
        <w:spacing w:after="80"/>
      </w:pPr>
      <w:r>
        <w:rPr>
          <w:b/>
          <w:color w:val="1A1A2E"/>
          <w:sz w:val="22"/>
        </w:rPr>
        <w:t>Key Takeaways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403"/>
            <w:shd w:val="clear" w:color="auto" w:fill="4C72B0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1</w:t>
            </w:r>
          </w:p>
        </w:tc>
        <w:tc>
          <w:tcPr>
            <w:tcW w:type="dxa" w:w="9360"/>
            <w:shd w:val="clear" w:color="auto" w:fill="EEF3FC"/>
          </w:tcPr>
          <w:p>
            <w:pPr>
              <w:spacing w:before="60" w:after="20"/>
            </w:pPr>
            <w:r>
              <w:rPr>
                <w:b/>
                <w:sz w:val="18"/>
              </w:rPr>
              <w:t xml:space="preserve">No evident lift or drop in enrollments during the pulse periods.  </w:t>
            </w:r>
            <w:r>
              <w:rPr>
                <w:sz w:val="18"/>
              </w:rPr>
              <w:t>Neither reducing podcast spend to 50% of BAU nor increasing it to 150% produced a clear, measurable change in overall daily enrollments. Actuals in both windows stayed within the range the model would have expected regardless of the spend change.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403"/>
            <w:shd w:val="clear" w:color="auto" w:fill="DD8452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2</w:t>
            </w:r>
          </w:p>
        </w:tc>
        <w:tc>
          <w:tcPr>
            <w:tcW w:type="dxa" w:w="9360"/>
            <w:shd w:val="clear" w:color="auto" w:fill="FFF6EE"/>
          </w:tcPr>
          <w:p>
            <w:pPr>
              <w:spacing w:before="60" w:after="20"/>
            </w:pPr>
            <w:r>
              <w:rPr>
                <w:b/>
                <w:sz w:val="18"/>
              </w:rPr>
              <w:t xml:space="preserve">The scale of podcast spend may not be large enough to move the needle on total enrollments.  </w:t>
            </w:r>
            <w:r>
              <w:rPr>
                <w:sz w:val="18"/>
              </w:rPr>
              <w:t>Podcast is one channel within a broader marketing mix. At the spend levels tested ($110K/wk down and $220K/wk up), the channel's contribution may simply be too small relative to total enrollment volume to produce a detectable shift — especially over a short window.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403"/>
            <w:shd w:val="clear" w:color="auto" w:fill="55A868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3</w:t>
            </w:r>
          </w:p>
        </w:tc>
        <w:tc>
          <w:tcPr>
            <w:tcW w:type="dxa" w:w="9360"/>
            <w:shd w:val="clear" w:color="auto" w:fill="EEFAF3"/>
          </w:tcPr>
          <w:p>
            <w:pPr>
              <w:spacing w:before="60" w:after="20"/>
            </w:pPr>
            <w:r>
              <w:rPr>
                <w:b/>
                <w:sz w:val="18"/>
              </w:rPr>
              <w:t xml:space="preserve">Other factors are likely the dominant drivers of April enrollment trends.  </w:t>
            </w:r>
            <w:r>
              <w:rPr>
                <w:sz w:val="18"/>
              </w:rPr>
              <w:t>Broad seasonality, other marketing channels, and organic product trends all influence enrollment at a scale that can mask the effect of a single channel pulse. The April enrollment pattern appears to reflect these broader forces rather than podcast spend specifically.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403"/>
            <w:shd w:val="clear" w:color="auto" w:fill="1A1A2E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4</w:t>
            </w:r>
          </w:p>
        </w:tc>
        <w:tc>
          <w:tcPr>
            <w:tcW w:type="dxa" w:w="9360"/>
            <w:shd w:val="clear" w:color="auto" w:fill="F5F5F5"/>
          </w:tcPr>
          <w:p>
            <w:pPr>
              <w:spacing w:before="60" w:after="20"/>
            </w:pPr>
            <w:r>
              <w:rPr>
                <w:b/>
                <w:sz w:val="18"/>
              </w:rPr>
              <w:t xml:space="preserve">Recommendation: further testing with a cleaner isolation design.  </w:t>
            </w:r>
            <w:r>
              <w:rPr>
                <w:sz w:val="18"/>
              </w:rPr>
              <w:t>To more reliably measure podcast's incremental impact, consider a geo holdout test (pause podcasts in specific markets while maintaining them in others) or a longer pulse window at a larger spend swing — giving the signal more room to emerge above the noise.</w:t>
            </w:r>
          </w:p>
        </w:tc>
      </w:tr>
    </w:tbl>
    <w:p>
      <w:pPr>
        <w:spacing w:after="20"/>
      </w:pPr>
    </w:p>
    <w:p>
      <w:pPr>
        <w:spacing w:before="80"/>
      </w:pPr>
      <w:r>
        <w:rPr>
          <w:color w:val="AAAAAA"/>
          <w:sz w:val="15"/>
        </w:rPr>
        <w:t>Methodology: SARIMA(1,1,1)(1,0,0,7) time-series model trained on May 2025 – Mar 23, 2026. Counterfactual = model projection of expected enrollments absent any spend change. Validated on BAU hold-out week (Mar 24–31) with 4.6% MAPE. Significance tested at 95% confidence level.</w:t>
      </w:r>
    </w:p>
    <w:sectPr w:rsidR="00FC693F" w:rsidRPr="0006063C" w:rsidSect="00034616"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